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15199F">
      <w:pPr>
        <w:jc w:val="center"/>
        <w:rPr>
          <w:color w:val="auto"/>
          <w:sz w:val="21"/>
        </w:rPr>
      </w:pPr>
      <w:bookmarkStart w:id="0" w:name="_Hlk63325776"/>
      <w:r>
        <w:rPr>
          <w:color w:val="auto"/>
          <w:highlight w:val="none"/>
          <w:u w:val="single"/>
        </w:rPr>
        <w:drawing>
          <wp:anchor distT="0" distB="0" distL="114300" distR="114300" simplePos="0" relativeHeight="251666432" behindDoc="1" locked="0" layoutInCell="1" allowOverlap="1">
            <wp:simplePos x="0" y="0"/>
            <wp:positionH relativeFrom="column">
              <wp:posOffset>11430</wp:posOffset>
            </wp:positionH>
            <wp:positionV relativeFrom="paragraph">
              <wp:posOffset>-107950</wp:posOffset>
            </wp:positionV>
            <wp:extent cx="975360" cy="923925"/>
            <wp:effectExtent l="0" t="0" r="0" b="5715"/>
            <wp:wrapNone/>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7"/>
                    <a:stretch>
                      <a:fillRect/>
                    </a:stretch>
                  </pic:blipFill>
                  <pic:spPr>
                    <a:xfrm>
                      <a:off x="0" y="0"/>
                      <a:ext cx="975360" cy="923925"/>
                    </a:xfrm>
                    <a:prstGeom prst="rect">
                      <a:avLst/>
                    </a:prstGeom>
                    <a:noFill/>
                    <a:ln>
                      <a:noFill/>
                    </a:ln>
                  </pic:spPr>
                </pic:pic>
              </a:graphicData>
            </a:graphic>
          </wp:anchor>
        </w:drawing>
      </w:r>
      <w:r>
        <w:rPr>
          <w:color w:val="auto"/>
          <w:sz w:val="21"/>
        </w:rPr>
        <mc:AlternateContent>
          <mc:Choice Requires="wps">
            <w:drawing>
              <wp:anchor distT="0" distB="0" distL="114300" distR="114300" simplePos="0" relativeHeight="251664384" behindDoc="0" locked="0" layoutInCell="1" allowOverlap="1">
                <wp:simplePos x="0" y="0"/>
                <wp:positionH relativeFrom="column">
                  <wp:posOffset>4886960</wp:posOffset>
                </wp:positionH>
                <wp:positionV relativeFrom="paragraph">
                  <wp:posOffset>939165</wp:posOffset>
                </wp:positionV>
                <wp:extent cx="1630045" cy="317500"/>
                <wp:effectExtent l="0" t="0" r="8255" b="6350"/>
                <wp:wrapNone/>
                <wp:docPr id="13" name="文本框 13"/>
                <wp:cNvGraphicFramePr/>
                <a:graphic xmlns:a="http://schemas.openxmlformats.org/drawingml/2006/main">
                  <a:graphicData uri="http://schemas.microsoft.com/office/word/2010/wordprocessingShape">
                    <wps:wsp>
                      <wps:cNvSpPr txBox="1"/>
                      <wps:spPr>
                        <a:xfrm>
                          <a:off x="0" y="0"/>
                          <a:ext cx="1630045" cy="3175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31E3D6B">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permStart w:id="63" w:edGrp="everyone"/>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ermEnd w:id="63"/>
                          </w:p>
                          <w:p w14:paraId="2A4FB49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4.8pt;margin-top:73.95pt;height:25pt;width:128.35pt;z-index:251664384;mso-width-relative:page;mso-height-relative:page;" fillcolor="#FFFFFF [3201]" filled="t" stroked="f" coordsize="21600,21600" o:gfxdata="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PnjoRjWAAAADAEAAA8A&#10;AAAAAAAAAQAgAAAAIgAAAGRycy9kb3ducmV2LnhtbFBLAQIUABQAAAAIAIdO4kBRd90cUgIAAJEE&#10;AAAOAAAAAAAAAAEAIAAAACUBAABkcnMvZTJvRG9jLnhtbFBLBQYAAAAABgAGAFkBAADpBQAAAAA=&#10;">
                <v:fill on="t" focussize="0,0"/>
                <v:stroke on="f" weight="0.5pt"/>
                <v:imagedata o:title=""/>
                <o:lock v:ext="edit" aspectratio="f"/>
                <v:textbox>
                  <w:txbxContent>
                    <w:p w14:paraId="731E3D6B">
                      <w:pPr>
                        <w:ind w:right="-1772" w:rightChars="-844"/>
                        <w:rPr>
                          <w:rFonts w:hint="default" w:ascii="Times New Roman" w:hAnsi="Times New Roman" w:eastAsia="宋体" w:cs="Times New Roman"/>
                          <w:b/>
                          <w:szCs w:val="20"/>
                          <w:lang w:val="en-US" w:eastAsia="zh-CN"/>
                        </w:rPr>
                      </w:pPr>
                      <w:r>
                        <w:rPr>
                          <w:rFonts w:hint="eastAsia" w:ascii="Times New Roman" w:hAnsi="Times New Roman" w:eastAsia="宋体" w:cs="Times New Roman"/>
                          <w:b/>
                          <w:szCs w:val="20"/>
                        </w:rPr>
                        <w:t>合同编号：</w:t>
                      </w:r>
                      <w:permStart w:id="63" w:edGrp="everyone"/>
                      <w:r>
                        <w:rPr>
                          <w:rFonts w:hint="eastAsia" w:ascii="Times New Roman" w:hAnsi="Times New Roman" w:eastAsia="宋体" w:cs="Times New Roman"/>
                          <w:b/>
                          <w:szCs w:val="20"/>
                          <w:u w:val="single"/>
                        </w:rPr>
                        <w:t xml:space="preserve"> </w:t>
                      </w:r>
                      <w:r>
                        <w:rPr>
                          <w:rFonts w:ascii="Times New Roman" w:hAnsi="Times New Roman" w:eastAsia="宋体" w:cs="Times New Roman"/>
                          <w:b/>
                          <w:szCs w:val="20"/>
                          <w:u w:val="single"/>
                        </w:rPr>
                        <w:t xml:space="preserve"> </w:t>
                      </w:r>
                      <w:r>
                        <w:rPr>
                          <w:rFonts w:hint="eastAsia" w:ascii="Times New Roman" w:hAnsi="Times New Roman" w:eastAsia="宋体" w:cs="Times New Roman"/>
                          <w:b/>
                          <w:szCs w:val="20"/>
                          <w:u w:val="single"/>
                          <w:lang w:val="en-US" w:eastAsia="zh-CN"/>
                        </w:rPr>
                        <w:t xml:space="preserve">         </w:t>
                      </w:r>
                      <w:permEnd w:id="63"/>
                    </w:p>
                    <w:p w14:paraId="2A4FB49B"/>
                  </w:txbxContent>
                </v:textbox>
              </v:shape>
            </w:pict>
          </mc:Fallback>
        </mc:AlternateContent>
      </w:r>
      <w:r>
        <w:rPr>
          <w:color w:val="auto"/>
          <w:sz w:val="21"/>
        </w:rPr>
        <mc:AlternateContent>
          <mc:Choice Requires="wps">
            <w:drawing>
              <wp:anchor distT="0" distB="0" distL="114300" distR="114300" simplePos="0" relativeHeight="251661312" behindDoc="0" locked="0" layoutInCell="1" allowOverlap="1">
                <wp:simplePos x="0" y="0"/>
                <wp:positionH relativeFrom="column">
                  <wp:posOffset>881380</wp:posOffset>
                </wp:positionH>
                <wp:positionV relativeFrom="paragraph">
                  <wp:posOffset>-34290</wp:posOffset>
                </wp:positionV>
                <wp:extent cx="5207000" cy="805180"/>
                <wp:effectExtent l="0" t="0" r="12700" b="13970"/>
                <wp:wrapNone/>
                <wp:docPr id="6" name="文本框 6"/>
                <wp:cNvGraphicFramePr/>
                <a:graphic xmlns:a="http://schemas.openxmlformats.org/drawingml/2006/main">
                  <a:graphicData uri="http://schemas.microsoft.com/office/word/2010/wordprocessingShape">
                    <wps:wsp>
                      <wps:cNvSpPr txBox="1"/>
                      <wps:spPr>
                        <a:xfrm>
                          <a:off x="0" y="0"/>
                          <a:ext cx="5207000" cy="805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6650897">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47AD5301">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p w14:paraId="26B38CC9">
                            <w:pPr>
                              <w:ind w:right="-1772" w:rightChars="-844"/>
                              <w:rPr>
                                <w:rFonts w:hint="eastAsia" w:ascii="Times New Roman" w:hAnsi="Times New Roman" w:eastAsia="宋体" w:cs="Times New Roman"/>
                                <w:b/>
                                <w:sz w:val="11"/>
                                <w:szCs w:val="11"/>
                              </w:rPr>
                            </w:pPr>
                          </w:p>
                          <w:p w14:paraId="33C1EE40">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4pt;margin-top:-2.7pt;height:63.4pt;width:410pt;z-index:251661312;mso-width-relative:page;mso-height-relative:page;" fillcolor="#FFFFFF [3201]" filled="t" stroked="f" coordsize="21600,21600" o:gfxdata="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c1SjZ1QAAAAoBAAAPAAAA&#10;AAAAAAEAIAAAACIAAABkcnMvZG93bnJldi54bWxQSwECFAAUAAAACACHTuJAgfc5nFECAACPBAAA&#10;DgAAAAAAAAABACAAAAAkAQAAZHJzL2Uyb0RvYy54bWxQSwUGAAAAAAYABgBZAQAA5wUAAAAA&#10;">
                <v:fill on="t" focussize="0,0"/>
                <v:stroke on="f" weight="0.5pt"/>
                <v:imagedata o:title=""/>
                <o:lock v:ext="edit" aspectratio="f"/>
                <v:textbox>
                  <w:txbxContent>
                    <w:p w14:paraId="36650897">
                      <w:pPr>
                        <w:ind w:right="-1772" w:rightChars="-844"/>
                        <w:rPr>
                          <w:rFonts w:hint="eastAsia" w:ascii="Times New Roman" w:hAnsi="Times New Roman" w:eastAsia="宋体" w:cs="Times New Roman"/>
                          <w:b/>
                          <w:sz w:val="36"/>
                          <w:szCs w:val="36"/>
                        </w:rPr>
                      </w:pPr>
                      <w:r>
                        <w:rPr>
                          <w:rFonts w:hint="eastAsia" w:ascii="Times New Roman" w:hAnsi="Times New Roman" w:eastAsia="宋体" w:cs="Times New Roman"/>
                          <w:b/>
                          <w:sz w:val="36"/>
                          <w:szCs w:val="36"/>
                        </w:rPr>
                        <w:t>北京中质晟检测认证有限公司</w:t>
                      </w:r>
                    </w:p>
                    <w:p w14:paraId="47AD5301">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p w14:paraId="26B38CC9">
                      <w:pPr>
                        <w:ind w:right="-1772" w:rightChars="-844"/>
                        <w:rPr>
                          <w:rFonts w:hint="eastAsia" w:ascii="Times New Roman" w:hAnsi="Times New Roman" w:eastAsia="宋体" w:cs="Times New Roman"/>
                          <w:b/>
                          <w:sz w:val="11"/>
                          <w:szCs w:val="11"/>
                        </w:rPr>
                      </w:pPr>
                    </w:p>
                    <w:p w14:paraId="33C1EE40">
                      <w:r>
                        <w:rPr>
                          <w:rFonts w:ascii="Times New Roman" w:hAnsi="Times New Roman" w:eastAsia="宋体" w:cs="Times New Roman"/>
                          <w:sz w:val="32"/>
                          <w:szCs w:val="32"/>
                        </w:rPr>
                        <w:t>B</w:t>
                      </w:r>
                      <w:r>
                        <w:rPr>
                          <w:rFonts w:hint="eastAsia" w:ascii="Times New Roman" w:hAnsi="Times New Roman" w:eastAsia="宋体" w:cs="Times New Roman"/>
                          <w:sz w:val="32"/>
                          <w:szCs w:val="32"/>
                          <w:lang w:val="en-US" w:eastAsia="zh-CN"/>
                        </w:rPr>
                        <w:t>eijing</w:t>
                      </w:r>
                      <w:r>
                        <w:rPr>
                          <w:rFonts w:ascii="Times New Roman" w:hAnsi="Times New Roman" w:eastAsia="宋体" w:cs="Times New Roman"/>
                          <w:sz w:val="32"/>
                          <w:szCs w:val="32"/>
                        </w:rPr>
                        <w:t xml:space="preserve"> CQE Testing and Certification C</w:t>
                      </w:r>
                      <w:r>
                        <w:rPr>
                          <w:rFonts w:hint="eastAsia" w:ascii="Times New Roman" w:hAnsi="Times New Roman" w:eastAsia="宋体" w:cs="Times New Roman"/>
                          <w:sz w:val="32"/>
                          <w:szCs w:val="32"/>
                          <w:lang w:val="en-US" w:eastAsia="zh-CN"/>
                        </w:rPr>
                        <w:t>o</w:t>
                      </w:r>
                      <w:r>
                        <w:rPr>
                          <w:rFonts w:ascii="Times New Roman" w:hAnsi="Times New Roman" w:eastAsia="宋体" w:cs="Times New Roman"/>
                          <w:sz w:val="32"/>
                          <w:szCs w:val="32"/>
                        </w:rPr>
                        <w:t>.,L</w:t>
                      </w:r>
                      <w:r>
                        <w:rPr>
                          <w:rFonts w:hint="eastAsia" w:ascii="Times New Roman" w:hAnsi="Times New Roman" w:eastAsia="宋体" w:cs="Times New Roman"/>
                          <w:sz w:val="32"/>
                          <w:szCs w:val="32"/>
                          <w:lang w:val="en-US" w:eastAsia="zh-CN"/>
                        </w:rPr>
                        <w:t>td</w:t>
                      </w:r>
                    </w:p>
                  </w:txbxContent>
                </v:textbox>
              </v:shape>
            </w:pict>
          </mc:Fallback>
        </mc:AlternateContent>
      </w:r>
    </w:p>
    <w:p w14:paraId="6874A680">
      <w:pPr>
        <w:jc w:val="center"/>
        <w:rPr>
          <w:color w:val="auto"/>
          <w:sz w:val="21"/>
        </w:rPr>
      </w:pPr>
    </w:p>
    <w:p w14:paraId="32DF8CEE">
      <w:pPr>
        <w:jc w:val="center"/>
        <w:rPr>
          <w:color w:val="auto"/>
          <w:sz w:val="21"/>
        </w:rPr>
      </w:pPr>
    </w:p>
    <w:p w14:paraId="15387B6C">
      <w:pPr>
        <w:jc w:val="both"/>
        <w:rPr>
          <w:rFonts w:hint="eastAsia"/>
          <w:color w:val="auto"/>
          <w:sz w:val="21"/>
          <w:lang w:eastAsia="zh-CN"/>
        </w:rPr>
      </w:pPr>
    </w:p>
    <w:p w14:paraId="352BCD70">
      <w:pPr>
        <w:spacing w:line="900" w:lineRule="auto"/>
        <w:jc w:val="center"/>
        <w:rPr>
          <w:rFonts w:hint="eastAsia" w:ascii="宋体" w:hAnsi="宋体"/>
          <w:b/>
          <w:color w:val="auto"/>
          <w:sz w:val="72"/>
          <w:szCs w:val="72"/>
        </w:rPr>
      </w:pPr>
    </w:p>
    <w:p w14:paraId="4EDB1A77">
      <w:pPr>
        <w:spacing w:line="900" w:lineRule="auto"/>
        <w:jc w:val="center"/>
        <w:rPr>
          <w:rFonts w:ascii="宋体" w:hAnsi="宋体"/>
          <w:b/>
          <w:color w:val="auto"/>
          <w:sz w:val="72"/>
          <w:szCs w:val="72"/>
        </w:rPr>
      </w:pPr>
      <w:r>
        <w:rPr>
          <w:rFonts w:hint="eastAsia" w:ascii="宋体" w:hAnsi="宋体"/>
          <w:b/>
          <w:color w:val="auto"/>
          <w:sz w:val="72"/>
          <w:szCs w:val="72"/>
        </w:rPr>
        <w:t>管理体系认证合同书</w:t>
      </w:r>
    </w:p>
    <w:p w14:paraId="46932DE2">
      <w:pPr>
        <w:tabs>
          <w:tab w:val="left" w:pos="1510"/>
        </w:tabs>
        <w:jc w:val="left"/>
        <w:rPr>
          <w:rFonts w:hint="eastAsia" w:ascii="宋体" w:hAnsi="宋体" w:eastAsia="宋体" w:cs="Arial"/>
          <w:b/>
          <w:color w:val="auto"/>
          <w:sz w:val="28"/>
          <w:szCs w:val="28"/>
          <w:lang w:eastAsia="zh-CN"/>
        </w:rPr>
      </w:pPr>
      <w:r>
        <w:rPr>
          <w:rFonts w:hint="eastAsia" w:ascii="宋体" w:hAnsi="宋体" w:cs="Arial"/>
          <w:b/>
          <w:color w:val="auto"/>
          <w:sz w:val="28"/>
          <w:szCs w:val="28"/>
          <w:lang w:eastAsia="zh-CN"/>
        </w:rPr>
        <w:tab/>
      </w:r>
    </w:p>
    <w:p w14:paraId="17540B19">
      <w:pPr>
        <w:jc w:val="center"/>
        <w:rPr>
          <w:rFonts w:ascii="宋体" w:hAnsi="宋体" w:cs="Arial"/>
          <w:b/>
          <w:color w:val="auto"/>
          <w:sz w:val="28"/>
          <w:szCs w:val="28"/>
        </w:rPr>
      </w:pPr>
    </w:p>
    <w:p w14:paraId="0E3A8950">
      <w:pPr>
        <w:jc w:val="center"/>
        <w:rPr>
          <w:rFonts w:ascii="宋体" w:hAnsi="宋体" w:cs="Arial"/>
          <w:b/>
          <w:color w:val="auto"/>
          <w:sz w:val="28"/>
          <w:szCs w:val="28"/>
        </w:rPr>
      </w:pPr>
    </w:p>
    <w:p w14:paraId="76B2839F">
      <w:pPr>
        <w:jc w:val="center"/>
        <w:rPr>
          <w:rFonts w:ascii="宋体" w:hAnsi="宋体" w:cs="Arial"/>
          <w:b/>
          <w:color w:val="auto"/>
          <w:sz w:val="28"/>
          <w:szCs w:val="28"/>
        </w:rPr>
      </w:pPr>
    </w:p>
    <w:p w14:paraId="3970687E">
      <w:pPr>
        <w:jc w:val="center"/>
        <w:rPr>
          <w:rFonts w:ascii="宋体" w:hAnsi="宋体" w:cs="Arial"/>
          <w:b/>
          <w:color w:val="auto"/>
          <w:sz w:val="28"/>
          <w:szCs w:val="28"/>
        </w:rPr>
      </w:pPr>
    </w:p>
    <w:p w14:paraId="28657BD2">
      <w:pPr>
        <w:jc w:val="center"/>
        <w:rPr>
          <w:rFonts w:ascii="宋体" w:hAnsi="宋体" w:cs="Arial"/>
          <w:b/>
          <w:color w:val="auto"/>
          <w:sz w:val="28"/>
          <w:szCs w:val="28"/>
        </w:rPr>
      </w:pPr>
    </w:p>
    <w:p w14:paraId="584BFD28">
      <w:pPr>
        <w:jc w:val="center"/>
        <w:rPr>
          <w:rFonts w:ascii="宋体" w:hAnsi="宋体" w:cs="Arial"/>
          <w:b/>
          <w:color w:val="auto"/>
          <w:sz w:val="28"/>
          <w:szCs w:val="28"/>
        </w:rPr>
      </w:pPr>
    </w:p>
    <w:p w14:paraId="763BC783">
      <w:pPr>
        <w:jc w:val="center"/>
        <w:rPr>
          <w:rFonts w:ascii="宋体" w:hAnsi="宋体"/>
          <w:color w:val="auto"/>
        </w:rPr>
      </w:pPr>
    </w:p>
    <w:p w14:paraId="6E61E094">
      <w:pPr>
        <w:jc w:val="center"/>
        <w:rPr>
          <w:rFonts w:ascii="宋体" w:hAnsi="宋体"/>
          <w:color w:val="auto"/>
        </w:rPr>
      </w:pPr>
    </w:p>
    <w:p w14:paraId="4CA1480E">
      <w:pPr>
        <w:jc w:val="both"/>
        <w:rPr>
          <w:rFonts w:ascii="宋体" w:hAnsi="宋体"/>
          <w:color w:val="auto"/>
        </w:rPr>
      </w:pPr>
    </w:p>
    <w:p w14:paraId="51E33799">
      <w:pPr>
        <w:jc w:val="both"/>
        <w:rPr>
          <w:rFonts w:ascii="宋体" w:hAnsi="宋体"/>
          <w:color w:val="auto"/>
        </w:rPr>
      </w:pPr>
    </w:p>
    <w:p w14:paraId="5FA6B9F2">
      <w:pPr>
        <w:jc w:val="center"/>
        <w:rPr>
          <w:rFonts w:ascii="宋体" w:hAnsi="宋体"/>
          <w:color w:val="auto"/>
        </w:rPr>
      </w:pPr>
    </w:p>
    <w:p w14:paraId="2DD40C65">
      <w:pPr>
        <w:jc w:val="center"/>
        <w:rPr>
          <w:rFonts w:ascii="宋体" w:hAnsi="宋体"/>
          <w:color w:val="auto"/>
        </w:rPr>
      </w:pPr>
    </w:p>
    <w:p w14:paraId="75D21E0D">
      <w:pPr>
        <w:jc w:val="center"/>
        <w:rPr>
          <w:rFonts w:ascii="宋体" w:hAnsi="宋体"/>
          <w:color w:val="auto"/>
        </w:rPr>
      </w:pPr>
    </w:p>
    <w:p w14:paraId="3828EB28">
      <w:pPr>
        <w:jc w:val="center"/>
        <w:rPr>
          <w:rFonts w:ascii="宋体" w:hAnsi="宋体"/>
          <w:color w:val="auto"/>
        </w:rPr>
      </w:pPr>
    </w:p>
    <w:p w14:paraId="14D24263">
      <w:pPr>
        <w:jc w:val="center"/>
        <w:rPr>
          <w:rFonts w:ascii="宋体" w:hAnsi="宋体"/>
          <w:color w:val="auto"/>
        </w:rPr>
      </w:pP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1"/>
        <w:gridCol w:w="4819"/>
      </w:tblGrid>
      <w:tr w14:paraId="75A99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41" w:type="dxa"/>
            <w:vAlign w:val="bottom"/>
          </w:tcPr>
          <w:p w14:paraId="6149962C">
            <w:pPr>
              <w:snapToGrid w:val="0"/>
              <w:spacing w:line="276" w:lineRule="auto"/>
              <w:jc w:val="right"/>
              <w:rPr>
                <w:rFonts w:ascii="宋体" w:hAnsi="宋体"/>
                <w:b/>
                <w:color w:val="auto"/>
                <w:sz w:val="32"/>
                <w:szCs w:val="32"/>
              </w:rPr>
            </w:pPr>
            <w:permStart w:id="0" w:edGrp="everyone" w:colFirst="1" w:colLast="1"/>
            <w:r>
              <w:rPr>
                <w:rFonts w:hint="eastAsia" w:ascii="宋体" w:hAnsi="宋体"/>
                <w:b/>
                <w:bCs/>
                <w:color w:val="auto"/>
                <w:sz w:val="32"/>
                <w:szCs w:val="32"/>
              </w:rPr>
              <w:t>委托方（甲方）：</w:t>
            </w:r>
          </w:p>
        </w:tc>
        <w:tc>
          <w:tcPr>
            <w:tcW w:w="4819" w:type="dxa"/>
            <w:tcBorders>
              <w:bottom w:val="single" w:color="auto" w:sz="4" w:space="0"/>
            </w:tcBorders>
            <w:vAlign w:val="bottom"/>
          </w:tcPr>
          <w:p w14:paraId="5F12F764">
            <w:pPr>
              <w:snapToGrid w:val="0"/>
              <w:spacing w:line="276" w:lineRule="auto"/>
              <w:ind w:firstLine="413" w:firstLineChars="147"/>
              <w:rPr>
                <w:rFonts w:hint="default" w:ascii="宋体" w:hAnsi="宋体" w:eastAsia="宋体"/>
                <w:b/>
                <w:color w:val="auto"/>
                <w:sz w:val="28"/>
                <w:szCs w:val="28"/>
                <w:lang w:val="en-US" w:eastAsia="zh-CN"/>
              </w:rPr>
            </w:pPr>
            <w:r>
              <w:rPr>
                <w:rFonts w:hint="eastAsia" w:ascii="宋体" w:hAnsi="宋体"/>
                <w:b/>
                <w:color w:val="auto"/>
                <w:sz w:val="28"/>
                <w:szCs w:val="28"/>
                <w:lang w:val="en-US" w:eastAsia="zh-CN"/>
              </w:rPr>
              <w:t xml:space="preserve">                 </w:t>
            </w:r>
            <w:r>
              <w:rPr>
                <w:rFonts w:hint="eastAsia"/>
              </w:rPr>
              <w:t xml:space="preserve">           </w:t>
            </w:r>
            <w:r>
              <w:rPr>
                <w:rFonts w:hint="eastAsia" w:ascii="宋体" w:hAnsi="宋体"/>
                <w:b/>
                <w:color w:val="auto"/>
                <w:sz w:val="28"/>
                <w:szCs w:val="28"/>
                <w:lang w:val="en-US" w:eastAsia="zh-CN"/>
              </w:rPr>
              <w:t xml:space="preserve"> </w:t>
            </w:r>
          </w:p>
        </w:tc>
      </w:tr>
      <w:permEnd w:id="0"/>
      <w:tr w14:paraId="26A2B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841" w:type="dxa"/>
            <w:vAlign w:val="bottom"/>
          </w:tcPr>
          <w:p w14:paraId="05F66781">
            <w:pPr>
              <w:snapToGrid w:val="0"/>
              <w:spacing w:line="276" w:lineRule="auto"/>
              <w:jc w:val="right"/>
              <w:rPr>
                <w:rFonts w:ascii="宋体" w:hAnsi="宋体"/>
                <w:b/>
                <w:color w:val="auto"/>
                <w:sz w:val="32"/>
                <w:szCs w:val="32"/>
              </w:rPr>
            </w:pPr>
            <w:r>
              <w:rPr>
                <w:rFonts w:hint="eastAsia" w:ascii="宋体" w:hAnsi="宋体"/>
                <w:b/>
                <w:bCs/>
                <w:color w:val="auto"/>
                <w:sz w:val="32"/>
                <w:szCs w:val="32"/>
              </w:rPr>
              <w:t>审核方（乙方）：</w:t>
            </w:r>
          </w:p>
        </w:tc>
        <w:tc>
          <w:tcPr>
            <w:tcW w:w="4819" w:type="dxa"/>
            <w:tcBorders>
              <w:top w:val="single" w:color="auto" w:sz="4" w:space="0"/>
              <w:bottom w:val="single" w:color="auto" w:sz="4" w:space="0"/>
            </w:tcBorders>
            <w:vAlign w:val="bottom"/>
          </w:tcPr>
          <w:p w14:paraId="58ED6759">
            <w:pPr>
              <w:snapToGrid w:val="0"/>
              <w:spacing w:line="276" w:lineRule="auto"/>
              <w:jc w:val="center"/>
              <w:rPr>
                <w:rFonts w:hint="eastAsia" w:ascii="宋体" w:hAnsi="宋体" w:eastAsia="宋体"/>
                <w:b/>
                <w:color w:val="auto"/>
                <w:sz w:val="28"/>
                <w:szCs w:val="28"/>
                <w:lang w:eastAsia="zh-CN"/>
              </w:rPr>
            </w:pPr>
            <w:r>
              <w:rPr>
                <w:rFonts w:hint="eastAsia" w:ascii="宋体" w:hAnsi="宋体"/>
                <w:b/>
                <w:bCs/>
                <w:color w:val="auto"/>
                <w:sz w:val="28"/>
                <w:szCs w:val="28"/>
                <w:lang w:eastAsia="zh-CN"/>
              </w:rPr>
              <w:t>北京中质晟检测认证有限公司</w:t>
            </w:r>
          </w:p>
        </w:tc>
      </w:tr>
    </w:tbl>
    <w:p w14:paraId="4B5228AD">
      <w:pPr>
        <w:spacing w:line="720" w:lineRule="auto"/>
        <w:ind w:firstLine="2233" w:firstLineChars="695"/>
        <w:rPr>
          <w:rFonts w:ascii="宋体" w:hAnsi="宋体"/>
          <w:b/>
          <w:color w:val="auto"/>
          <w:sz w:val="32"/>
          <w:szCs w:val="32"/>
        </w:rPr>
        <w:sectPr>
          <w:headerReference r:id="rId5" w:type="first"/>
          <w:headerReference r:id="rId3" w:type="default"/>
          <w:footerReference r:id="rId6" w:type="default"/>
          <w:headerReference r:id="rId4" w:type="even"/>
          <w:footerReference r:id="rId7" w:type="even"/>
          <w:type w:val="nextColumn"/>
          <w:pgSz w:w="11906" w:h="16838"/>
          <w:pgMar w:top="1304" w:right="1077" w:bottom="1134" w:left="1077" w:header="885" w:footer="590" w:gutter="0"/>
          <w:pgNumType w:fmt="decimal"/>
          <w:cols w:space="720" w:num="1"/>
          <w:docGrid w:type="lines" w:linePitch="312" w:charSpace="0"/>
        </w:sectPr>
      </w:pPr>
      <w:r>
        <w:rPr>
          <w:rFonts w:hint="eastAsia" w:ascii="宋体" w:hAnsi="宋体"/>
          <w:b/>
          <w:bCs/>
          <w:color w:val="auto"/>
          <w:sz w:val="32"/>
          <w:szCs w:val="32"/>
        </w:rPr>
        <w:t>签订时间</w:t>
      </w:r>
      <w:r>
        <w:rPr>
          <w:rFonts w:hint="eastAsia" w:ascii="宋体" w:hAnsi="宋体"/>
          <w:b/>
          <w:color w:val="auto"/>
          <w:sz w:val="32"/>
          <w:szCs w:val="32"/>
        </w:rPr>
        <w:t>：      年     月     日</w:t>
      </w:r>
    </w:p>
    <w:bookmarkEnd w:id="0"/>
    <w:p w14:paraId="29EF53DC">
      <w:pPr>
        <w:spacing w:line="276" w:lineRule="auto"/>
        <w:ind w:firstLine="420" w:firstLineChars="200"/>
        <w:jc w:val="left"/>
        <w:rPr>
          <w:rFonts w:ascii="宋体" w:hAnsi="宋体"/>
          <w:color w:val="auto"/>
          <w:szCs w:val="21"/>
        </w:rPr>
      </w:pPr>
      <w:bookmarkStart w:id="1" w:name="_Hlk63325865"/>
      <w:r>
        <w:rPr>
          <w:rFonts w:hint="eastAsia" w:ascii="宋体" w:hAnsi="宋体"/>
          <w:bCs/>
          <w:color w:val="auto"/>
          <w:szCs w:val="21"/>
        </w:rPr>
        <w:t>依据《中华人民共和国民法典》《中华人民共和国认证认可条例》及有关法律法规和有关认证的规定，甲乙双方就管理体系认证项目，经平等协商，在真实、充分地表达各自意愿的基础上，签订本合同，双方共同遵守履行</w:t>
      </w:r>
      <w:r>
        <w:rPr>
          <w:rFonts w:hint="eastAsia" w:ascii="宋体" w:hAnsi="宋体"/>
          <w:color w:val="auto"/>
          <w:szCs w:val="21"/>
        </w:rPr>
        <w:t>。在双方自愿和理解所有条款内容的前提下，签订本合同，以资共同信守。</w:t>
      </w:r>
    </w:p>
    <w:bookmarkEnd w:id="1"/>
    <w:p w14:paraId="5D70DEAF">
      <w:pPr>
        <w:pStyle w:val="5"/>
        <w:spacing w:before="156" w:beforeLines="50" w:line="276" w:lineRule="auto"/>
        <w:rPr>
          <w:rFonts w:hAnsi="宋体" w:cs="Times New Roman"/>
          <w:b/>
          <w:color w:val="auto"/>
        </w:rPr>
      </w:pPr>
      <w:r>
        <w:rPr>
          <w:rFonts w:hint="eastAsia" w:hAnsi="宋体" w:cs="Times New Roman"/>
          <w:b/>
          <w:color w:val="auto"/>
        </w:rPr>
        <w:t>一、管理体系认证项目的内容和要求</w:t>
      </w:r>
    </w:p>
    <w:p w14:paraId="4E1BCF84">
      <w:pPr>
        <w:pStyle w:val="5"/>
        <w:spacing w:before="156" w:beforeLines="50"/>
        <w:ind w:firstLine="420" w:firstLineChars="200"/>
        <w:rPr>
          <w:rFonts w:hAnsi="宋体" w:cs="Times New Roman"/>
          <w:color w:val="auto"/>
        </w:rPr>
      </w:pPr>
      <w:r>
        <w:rPr>
          <w:rFonts w:hint="eastAsia" w:hAnsi="宋体" w:cs="Times New Roman"/>
          <w:color w:val="auto"/>
          <w:lang w:val="de-DE"/>
        </w:rPr>
        <w:t>1、</w:t>
      </w:r>
      <w:r>
        <w:rPr>
          <w:rFonts w:hint="eastAsia" w:hAnsi="宋体" w:cs="Times New Roman"/>
          <w:color w:val="auto"/>
        </w:rPr>
        <w:t>甲方向乙方申请以下管理体系认证：</w:t>
      </w:r>
    </w:p>
    <w:tbl>
      <w:tblPr>
        <w:tblStyle w:val="13"/>
        <w:tblW w:w="10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44"/>
        <w:gridCol w:w="4009"/>
        <w:gridCol w:w="3450"/>
      </w:tblGrid>
      <w:tr w14:paraId="02288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2544" w:type="dxa"/>
          </w:tcPr>
          <w:p w14:paraId="1BF4E308">
            <w:pPr>
              <w:pStyle w:val="5"/>
              <w:spacing w:before="156" w:beforeLines="50"/>
              <w:rPr>
                <w:rFonts w:hAnsi="宋体" w:cs="宋体"/>
                <w:color w:val="auto"/>
              </w:rPr>
            </w:pPr>
            <w:permStart w:id="1" w:edGrp="everyone"/>
            <w:r>
              <w:rPr>
                <w:rFonts w:hint="eastAsia" w:ascii="宋体" w:hAnsi="宋体"/>
                <w:bCs/>
                <w:color w:val="000000" w:themeColor="text1"/>
                <w:sz w:val="21"/>
                <w:szCs w:val="21"/>
                <w:lang w:eastAsia="zh-CN"/>
                <w14:textFill>
                  <w14:solidFill>
                    <w14:schemeClr w14:val="tx1"/>
                  </w14:solidFill>
                </w14:textFill>
              </w:rPr>
              <w:t>□</w:t>
            </w:r>
            <w:permEnd w:id="1"/>
            <w:r>
              <w:rPr>
                <w:rFonts w:hAnsi="宋体" w:cs="宋体"/>
                <w:color w:val="auto"/>
              </w:rPr>
              <w:t>质量管理体系</w:t>
            </w:r>
          </w:p>
        </w:tc>
        <w:tc>
          <w:tcPr>
            <w:tcW w:w="4009" w:type="dxa"/>
          </w:tcPr>
          <w:p w14:paraId="1CB668D9">
            <w:pPr>
              <w:pStyle w:val="5"/>
              <w:spacing w:before="156" w:beforeLines="50"/>
              <w:rPr>
                <w:rFonts w:hAnsi="宋体" w:cs="宋体"/>
                <w:color w:val="auto"/>
              </w:rPr>
            </w:pPr>
            <w:permStart w:id="2" w:edGrp="everyone"/>
            <w:r>
              <w:rPr>
                <w:rFonts w:hint="eastAsia" w:ascii="宋体" w:hAnsi="宋体"/>
                <w:bCs/>
                <w:color w:val="000000" w:themeColor="text1"/>
                <w:sz w:val="21"/>
                <w:szCs w:val="21"/>
                <w:lang w:eastAsia="zh-CN"/>
                <w14:textFill>
                  <w14:solidFill>
                    <w14:schemeClr w14:val="tx1"/>
                  </w14:solidFill>
                </w14:textFill>
              </w:rPr>
              <w:t>□</w:t>
            </w:r>
            <w:permEnd w:id="2"/>
            <w:r>
              <w:rPr>
                <w:rFonts w:hAnsi="宋体" w:cs="宋体"/>
                <w:color w:val="auto"/>
              </w:rPr>
              <w:t>环境管理体系</w:t>
            </w:r>
          </w:p>
        </w:tc>
        <w:tc>
          <w:tcPr>
            <w:tcW w:w="3450" w:type="dxa"/>
          </w:tcPr>
          <w:p w14:paraId="1CE1167D">
            <w:pPr>
              <w:pStyle w:val="5"/>
              <w:spacing w:before="156" w:beforeLines="50"/>
              <w:rPr>
                <w:rFonts w:hAnsi="宋体" w:cs="宋体"/>
                <w:color w:val="auto"/>
              </w:rPr>
            </w:pPr>
            <w:permStart w:id="3" w:edGrp="everyone"/>
            <w:r>
              <w:rPr>
                <w:rFonts w:hint="eastAsia" w:ascii="宋体" w:hAnsi="宋体"/>
                <w:bCs/>
                <w:color w:val="000000" w:themeColor="text1"/>
                <w:sz w:val="21"/>
                <w:szCs w:val="21"/>
                <w:lang w:eastAsia="zh-CN"/>
                <w14:textFill>
                  <w14:solidFill>
                    <w14:schemeClr w14:val="tx1"/>
                  </w14:solidFill>
                </w14:textFill>
              </w:rPr>
              <w:t>□</w:t>
            </w:r>
            <w:permEnd w:id="3"/>
            <w:r>
              <w:rPr>
                <w:rFonts w:hAnsi="宋体" w:cs="宋体"/>
                <w:color w:val="auto"/>
              </w:rPr>
              <w:t>职业健康安全管理体系</w:t>
            </w:r>
          </w:p>
        </w:tc>
      </w:tr>
      <w:tr w14:paraId="54451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2544" w:type="dxa"/>
            <w:vAlign w:val="center"/>
          </w:tcPr>
          <w:p w14:paraId="67138D89">
            <w:pPr>
              <w:pStyle w:val="5"/>
              <w:spacing w:before="156" w:beforeLines="50"/>
              <w:rPr>
                <w:rFonts w:hAnsi="宋体" w:cs="宋体"/>
                <w:color w:val="auto"/>
              </w:rPr>
            </w:pPr>
            <w:permStart w:id="4" w:edGrp="everyone"/>
            <w:r>
              <w:rPr>
                <w:rFonts w:hint="eastAsia" w:ascii="宋体" w:hAnsi="宋体"/>
                <w:bCs/>
                <w:color w:val="000000" w:themeColor="text1"/>
                <w:sz w:val="21"/>
                <w:szCs w:val="21"/>
                <w:lang w:eastAsia="zh-CN"/>
                <w14:textFill>
                  <w14:solidFill>
                    <w14:schemeClr w14:val="tx1"/>
                  </w14:solidFill>
                </w14:textFill>
              </w:rPr>
              <w:t>□</w:t>
            </w:r>
            <w:permEnd w:id="4"/>
            <w:r>
              <w:rPr>
                <w:rFonts w:hint="eastAsia" w:hAnsi="宋体" w:cs="宋体"/>
                <w:color w:val="auto"/>
              </w:rPr>
              <w:t>信息安全管理体系</w:t>
            </w:r>
          </w:p>
        </w:tc>
        <w:tc>
          <w:tcPr>
            <w:tcW w:w="4009" w:type="dxa"/>
            <w:vAlign w:val="center"/>
          </w:tcPr>
          <w:p w14:paraId="7429B129">
            <w:pPr>
              <w:pStyle w:val="5"/>
              <w:spacing w:before="156" w:beforeLines="50"/>
              <w:rPr>
                <w:rFonts w:hAnsi="宋体" w:cs="宋体"/>
                <w:color w:val="auto"/>
              </w:rPr>
            </w:pPr>
            <w:permStart w:id="5" w:edGrp="everyone"/>
            <w:r>
              <w:rPr>
                <w:rFonts w:hint="eastAsia" w:ascii="宋体" w:hAnsi="宋体"/>
                <w:bCs/>
                <w:color w:val="000000" w:themeColor="text1"/>
                <w:sz w:val="21"/>
                <w:szCs w:val="21"/>
                <w:lang w:eastAsia="zh-CN"/>
                <w14:textFill>
                  <w14:solidFill>
                    <w14:schemeClr w14:val="tx1"/>
                  </w14:solidFill>
                </w14:textFill>
              </w:rPr>
              <w:t>□</w:t>
            </w:r>
            <w:permEnd w:id="5"/>
            <w:r>
              <w:rPr>
                <w:rFonts w:hAnsi="宋体" w:cs="宋体"/>
                <w:color w:val="auto"/>
              </w:rPr>
              <w:t>信息技术服务管理体系</w:t>
            </w:r>
          </w:p>
        </w:tc>
        <w:tc>
          <w:tcPr>
            <w:tcW w:w="3450" w:type="dxa"/>
            <w:vAlign w:val="center"/>
          </w:tcPr>
          <w:p w14:paraId="7E7E746B">
            <w:pPr>
              <w:pStyle w:val="5"/>
              <w:spacing w:before="156" w:beforeLines="50"/>
              <w:rPr>
                <w:rFonts w:hAnsi="宋体" w:cs="宋体"/>
                <w:color w:val="auto"/>
              </w:rPr>
            </w:pPr>
            <w:permStart w:id="6" w:edGrp="everyone"/>
            <w:r>
              <w:rPr>
                <w:rFonts w:hint="eastAsia" w:ascii="宋体" w:hAnsi="宋体"/>
                <w:bCs/>
                <w:color w:val="000000" w:themeColor="text1"/>
                <w:sz w:val="21"/>
                <w:szCs w:val="21"/>
                <w:lang w:eastAsia="zh-CN"/>
                <w14:textFill>
                  <w14:solidFill>
                    <w14:schemeClr w14:val="tx1"/>
                  </w14:solidFill>
                </w14:textFill>
              </w:rPr>
              <w:t>□</w:t>
            </w:r>
            <w:permEnd w:id="6"/>
            <w:r>
              <w:rPr>
                <w:rFonts w:hint="eastAsia" w:hAnsi="宋体" w:cs="宋体"/>
                <w:color w:val="auto"/>
              </w:rPr>
              <w:t>业务连续性管理体系</w:t>
            </w:r>
          </w:p>
        </w:tc>
      </w:tr>
      <w:tr w14:paraId="0F29C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2544" w:type="dxa"/>
          </w:tcPr>
          <w:p w14:paraId="798C29ED">
            <w:pPr>
              <w:pStyle w:val="5"/>
              <w:spacing w:before="156" w:beforeLines="50"/>
              <w:rPr>
                <w:rFonts w:hAnsi="宋体" w:cs="宋体"/>
                <w:color w:val="auto"/>
              </w:rPr>
            </w:pPr>
            <w:permStart w:id="7" w:edGrp="everyone"/>
            <w:r>
              <w:rPr>
                <w:rFonts w:hint="eastAsia" w:ascii="宋体" w:hAnsi="宋体"/>
                <w:bCs/>
                <w:color w:val="000000" w:themeColor="text1"/>
                <w:sz w:val="21"/>
                <w:szCs w:val="21"/>
                <w:lang w:eastAsia="zh-CN"/>
                <w14:textFill>
                  <w14:solidFill>
                    <w14:schemeClr w14:val="tx1"/>
                  </w14:solidFill>
                </w14:textFill>
              </w:rPr>
              <w:t>□</w:t>
            </w:r>
            <w:permEnd w:id="7"/>
            <w:r>
              <w:rPr>
                <w:rFonts w:hint="eastAsia" w:hAnsi="宋体" w:cs="宋体"/>
                <w:color w:val="auto"/>
              </w:rPr>
              <w:t>隐私信息管理体系</w:t>
            </w:r>
          </w:p>
        </w:tc>
        <w:tc>
          <w:tcPr>
            <w:tcW w:w="4009" w:type="dxa"/>
          </w:tcPr>
          <w:p w14:paraId="11316808">
            <w:pPr>
              <w:pStyle w:val="5"/>
              <w:spacing w:before="156" w:beforeLines="50"/>
              <w:rPr>
                <w:rFonts w:hAnsi="宋体" w:cs="宋体"/>
                <w:color w:val="auto"/>
              </w:rPr>
            </w:pPr>
            <w:sdt>
              <w:sdtPr>
                <w:rPr>
                  <w:rFonts w:hint="eastAsia" w:hAnsi="宋体" w:cs="宋体"/>
                  <w:color w:val="auto"/>
                </w:rPr>
                <w:id w:val="1816532013"/>
              </w:sdtPr>
              <w:sdtEndPr>
                <w:rPr>
                  <w:rFonts w:hint="eastAsia" w:hAnsi="宋体" w:cs="宋体"/>
                  <w:color w:val="auto"/>
                </w:rPr>
              </w:sdtEndPr>
              <w:sdtContent>
                <w:permStart w:id="8" w:edGrp="everyone"/>
                <w:r>
                  <w:rPr>
                    <w:rFonts w:hint="eastAsia" w:ascii="宋体" w:hAnsi="宋体"/>
                    <w:bCs/>
                    <w:color w:val="000000" w:themeColor="text1"/>
                    <w:sz w:val="21"/>
                    <w:szCs w:val="21"/>
                    <w:lang w:eastAsia="zh-CN"/>
                    <w14:textFill>
                      <w14:solidFill>
                        <w14:schemeClr w14:val="tx1"/>
                      </w14:solidFill>
                    </w14:textFill>
                  </w:rPr>
                  <w:t>□</w:t>
                </w:r>
                <w:permEnd w:id="8"/>
                <w:r>
                  <w:rPr>
                    <w:rFonts w:hint="eastAsia" w:ascii="Segoe UI Symbol" w:hAnsi="Segoe UI Symbol" w:cs="Segoe UI Symbol"/>
                    <w:color w:val="auto"/>
                    <w:lang w:val="en-US" w:eastAsia="zh-CN"/>
                  </w:rPr>
                  <w:t>供应链安全</w:t>
                </w:r>
                <w:r>
                  <w:rPr>
                    <w:rFonts w:hint="eastAsia" w:ascii="宋体" w:hAnsi="宋体" w:eastAsia="宋体" w:cs="宋体"/>
                    <w:color w:val="auto"/>
                    <w:szCs w:val="21"/>
                  </w:rPr>
                  <w:t>管理体系</w:t>
                </w:r>
              </w:sdtContent>
            </w:sdt>
          </w:p>
        </w:tc>
        <w:tc>
          <w:tcPr>
            <w:tcW w:w="3450" w:type="dxa"/>
          </w:tcPr>
          <w:p w14:paraId="2F70A2FF">
            <w:pPr>
              <w:pStyle w:val="5"/>
              <w:spacing w:before="156" w:beforeLines="50"/>
              <w:rPr>
                <w:rFonts w:hAnsi="宋体" w:cs="宋体"/>
                <w:color w:val="auto"/>
              </w:rPr>
            </w:pPr>
            <w:sdt>
              <w:sdtPr>
                <w:rPr>
                  <w:rFonts w:hint="eastAsia" w:hAnsi="宋体" w:cs="宋体"/>
                  <w:color w:val="auto"/>
                </w:rPr>
                <w:id w:val="-764305732"/>
              </w:sdtPr>
              <w:sdtEndPr>
                <w:rPr>
                  <w:rFonts w:hint="eastAsia" w:hAnsi="宋体" w:cs="宋体"/>
                  <w:color w:val="auto"/>
                </w:rPr>
              </w:sdtEndPr>
              <w:sdtContent>
                <w:permStart w:id="9" w:edGrp="everyone"/>
                <w:r>
                  <w:rPr>
                    <w:rFonts w:hint="eastAsia" w:ascii="宋体" w:hAnsi="宋体"/>
                    <w:bCs/>
                    <w:color w:val="000000" w:themeColor="text1"/>
                    <w:sz w:val="21"/>
                    <w:szCs w:val="21"/>
                    <w:lang w:eastAsia="zh-CN"/>
                    <w14:textFill>
                      <w14:solidFill>
                        <w14:schemeClr w14:val="tx1"/>
                      </w14:solidFill>
                    </w14:textFill>
                  </w:rPr>
                  <w:t>□</w:t>
                </w:r>
                <w:permEnd w:id="9"/>
                <w:r>
                  <w:rPr>
                    <w:rFonts w:hint="eastAsia" w:hAnsi="宋体" w:cs="宋体"/>
                    <w:color w:val="auto"/>
                  </w:rPr>
                  <w:t>云服务信息安全管理体系</w:t>
                </w:r>
              </w:sdtContent>
            </w:sdt>
          </w:p>
        </w:tc>
      </w:tr>
      <w:tr w14:paraId="74A1A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4" w:hRule="atLeast"/>
        </w:trPr>
        <w:tc>
          <w:tcPr>
            <w:tcW w:w="2544" w:type="dxa"/>
          </w:tcPr>
          <w:p w14:paraId="515AF270">
            <w:pPr>
              <w:pStyle w:val="5"/>
              <w:spacing w:before="156" w:beforeLines="50"/>
              <w:rPr>
                <w:rFonts w:hAnsi="宋体" w:cs="宋体"/>
                <w:color w:val="auto"/>
              </w:rPr>
            </w:pPr>
            <w:permStart w:id="10" w:edGrp="everyone"/>
            <w:r>
              <w:rPr>
                <w:rFonts w:hint="eastAsia" w:ascii="宋体" w:hAnsi="宋体"/>
                <w:bCs/>
                <w:color w:val="000000" w:themeColor="text1"/>
                <w:sz w:val="21"/>
                <w:szCs w:val="21"/>
                <w:lang w:eastAsia="zh-CN"/>
                <w14:textFill>
                  <w14:solidFill>
                    <w14:schemeClr w14:val="tx1"/>
                  </w14:solidFill>
                </w14:textFill>
              </w:rPr>
              <w:t>□</w:t>
            </w:r>
            <w:permEnd w:id="10"/>
            <w:r>
              <w:rPr>
                <w:rFonts w:hint="eastAsia" w:hAnsi="宋体" w:cs="宋体"/>
                <w:color w:val="auto"/>
              </w:rPr>
              <w:t>医疗器械质量管理体系</w:t>
            </w:r>
          </w:p>
        </w:tc>
        <w:tc>
          <w:tcPr>
            <w:tcW w:w="4009" w:type="dxa"/>
          </w:tcPr>
          <w:p w14:paraId="291394B2">
            <w:pPr>
              <w:pStyle w:val="5"/>
              <w:spacing w:before="156" w:beforeLines="50"/>
              <w:rPr>
                <w:rFonts w:hAnsi="宋体" w:cs="宋体"/>
                <w:color w:val="auto"/>
              </w:rPr>
            </w:pPr>
            <w:sdt>
              <w:sdtPr>
                <w:rPr>
                  <w:rFonts w:hint="eastAsia" w:hAnsi="宋体" w:cs="宋体"/>
                  <w:color w:val="auto"/>
                </w:rPr>
                <w:id w:val="870035444"/>
              </w:sdtPr>
              <w:sdtEndPr>
                <w:rPr>
                  <w:rFonts w:hint="eastAsia" w:hAnsi="宋体" w:cs="宋体"/>
                  <w:color w:val="auto"/>
                </w:rPr>
              </w:sdtEndPr>
              <w:sdtContent>
                <w:permStart w:id="11" w:edGrp="everyone"/>
                <w:r>
                  <w:rPr>
                    <w:rFonts w:hint="eastAsia" w:ascii="宋体" w:hAnsi="宋体"/>
                    <w:bCs/>
                    <w:color w:val="000000" w:themeColor="text1"/>
                    <w:sz w:val="21"/>
                    <w:szCs w:val="21"/>
                    <w:lang w:eastAsia="zh-CN"/>
                    <w14:textFill>
                      <w14:solidFill>
                        <w14:schemeClr w14:val="tx1"/>
                      </w14:solidFill>
                    </w14:textFill>
                  </w:rPr>
                  <w:t>□</w:t>
                </w:r>
                <w:permEnd w:id="11"/>
                <w:r>
                  <w:rPr>
                    <w:rFonts w:hint="eastAsia" w:hAnsi="宋体" w:cs="宋体"/>
                    <w:color w:val="auto"/>
                  </w:rPr>
                  <w:t>诚信管理体系</w:t>
                </w:r>
              </w:sdtContent>
            </w:sdt>
          </w:p>
        </w:tc>
        <w:tc>
          <w:tcPr>
            <w:tcW w:w="3450" w:type="dxa"/>
          </w:tcPr>
          <w:p w14:paraId="6F3C3A9E">
            <w:pPr>
              <w:pStyle w:val="5"/>
              <w:spacing w:before="156" w:beforeLines="50"/>
              <w:rPr>
                <w:rFonts w:hAnsi="宋体" w:cs="宋体"/>
                <w:color w:val="auto"/>
              </w:rPr>
            </w:pPr>
            <w:permStart w:id="12" w:edGrp="everyone"/>
            <w:sdt>
              <w:sdtPr>
                <w:rPr>
                  <w:rFonts w:hint="eastAsia" w:hAnsi="宋体" w:cs="宋体"/>
                  <w:color w:val="auto"/>
                </w:rPr>
                <w:id w:val="628754028"/>
              </w:sdtPr>
              <w:sdtEndPr>
                <w:rPr>
                  <w:rFonts w:hint="eastAsia" w:hAnsi="宋体" w:cs="宋体"/>
                  <w:color w:val="auto"/>
                </w:rPr>
              </w:sdtEndPr>
              <w:sdtContent>
                <w:r>
                  <w:rPr>
                    <w:rFonts w:hint="eastAsia" w:ascii="宋体" w:hAnsi="宋体"/>
                    <w:bCs/>
                    <w:color w:val="000000" w:themeColor="text1"/>
                    <w:sz w:val="21"/>
                    <w:szCs w:val="21"/>
                    <w:lang w:eastAsia="zh-CN"/>
                    <w14:textFill>
                      <w14:solidFill>
                        <w14:schemeClr w14:val="tx1"/>
                      </w14:solidFill>
                    </w14:textFill>
                  </w:rPr>
                  <w:t>□</w:t>
                </w:r>
                <w:permEnd w:id="12"/>
                <w:r>
                  <w:rPr>
                    <w:rFonts w:hint="eastAsia" w:hAnsi="宋体" w:cs="宋体"/>
                    <w:color w:val="auto"/>
                  </w:rPr>
                  <w:t>工程建设施工企业质量管理体系</w:t>
                </w:r>
              </w:sdtContent>
            </w:sdt>
          </w:p>
        </w:tc>
      </w:tr>
      <w:tr w14:paraId="03C42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544" w:type="dxa"/>
          </w:tcPr>
          <w:p w14:paraId="781B987C">
            <w:pPr>
              <w:pStyle w:val="5"/>
              <w:spacing w:before="156" w:beforeLines="50"/>
              <w:rPr>
                <w:rFonts w:hAnsi="宋体" w:cs="宋体"/>
                <w:color w:val="auto"/>
              </w:rPr>
            </w:pPr>
            <w:permStart w:id="13" w:edGrp="everyone"/>
            <w:r>
              <w:rPr>
                <w:rFonts w:hint="eastAsia" w:ascii="宋体" w:hAnsi="宋体"/>
                <w:bCs/>
                <w:color w:val="000000" w:themeColor="text1"/>
                <w:sz w:val="21"/>
                <w:szCs w:val="21"/>
                <w:lang w:eastAsia="zh-CN"/>
                <w14:textFill>
                  <w14:solidFill>
                    <w14:schemeClr w14:val="tx1"/>
                  </w14:solidFill>
                </w14:textFill>
              </w:rPr>
              <w:t>□</w:t>
            </w:r>
            <w:permEnd w:id="13"/>
            <w:r>
              <w:rPr>
                <w:rFonts w:hint="eastAsia" w:hAnsi="宋体" w:cs="宋体"/>
                <w:color w:val="auto"/>
              </w:rPr>
              <w:t>社会责任管理体系</w:t>
            </w:r>
          </w:p>
        </w:tc>
        <w:tc>
          <w:tcPr>
            <w:tcW w:w="4009" w:type="dxa"/>
          </w:tcPr>
          <w:p w14:paraId="55B5CCF3">
            <w:pPr>
              <w:pStyle w:val="5"/>
              <w:spacing w:before="156" w:beforeLines="50"/>
              <w:rPr>
                <w:rFonts w:hAnsi="宋体" w:cs="宋体"/>
                <w:color w:val="auto"/>
              </w:rPr>
            </w:pPr>
            <w:sdt>
              <w:sdtPr>
                <w:rPr>
                  <w:rFonts w:hint="eastAsia" w:hAnsi="宋体" w:cs="宋体"/>
                  <w:color w:val="auto"/>
                </w:rPr>
                <w:id w:val="147455807"/>
              </w:sdtPr>
              <w:sdtEndPr>
                <w:rPr>
                  <w:rFonts w:hint="eastAsia" w:hAnsi="宋体" w:cs="宋体"/>
                  <w:color w:val="auto"/>
                </w:rPr>
              </w:sdtEndPr>
              <w:sdtContent>
                <w:permStart w:id="14" w:edGrp="everyone"/>
                <w:r>
                  <w:rPr>
                    <w:rFonts w:hint="eastAsia"/>
                  </w:rPr>
                  <w:t>□</w:t>
                </w:r>
                <w:permEnd w:id="14"/>
                <w:r>
                  <w:rPr>
                    <w:rFonts w:hint="eastAsia" w:ascii="Segoe UI Symbol" w:hAnsi="Segoe UI Symbol" w:cs="Segoe UI Symbol"/>
                    <w:color w:val="auto"/>
                    <w:lang w:val="en-US" w:eastAsia="zh-CN"/>
                  </w:rPr>
                  <w:t>商品售后服务体系</w:t>
                </w:r>
              </w:sdtContent>
            </w:sdt>
          </w:p>
        </w:tc>
        <w:tc>
          <w:tcPr>
            <w:tcW w:w="3450" w:type="dxa"/>
          </w:tcPr>
          <w:p w14:paraId="3A846284">
            <w:pPr>
              <w:pStyle w:val="5"/>
              <w:spacing w:before="156" w:beforeLines="50"/>
              <w:rPr>
                <w:rFonts w:hAnsi="宋体" w:cs="宋体"/>
                <w:color w:val="auto"/>
              </w:rPr>
            </w:pPr>
            <w:sdt>
              <w:sdtPr>
                <w:rPr>
                  <w:rFonts w:hint="eastAsia" w:hAnsi="宋体" w:cs="宋体"/>
                  <w:color w:val="auto"/>
                </w:rPr>
                <w:id w:val="147469311"/>
              </w:sdtPr>
              <w:sdtEndPr>
                <w:rPr>
                  <w:rFonts w:hint="eastAsia" w:hAnsi="宋体" w:cs="宋体"/>
                  <w:color w:val="auto"/>
                </w:rPr>
              </w:sdtEndPr>
              <w:sdtContent>
                <w:permStart w:id="15" w:edGrp="everyone"/>
                <w:r>
                  <w:rPr>
                    <w:rFonts w:hint="eastAsia" w:ascii="宋体" w:hAnsi="宋体"/>
                    <w:bCs/>
                    <w:color w:val="000000" w:themeColor="text1"/>
                    <w:sz w:val="21"/>
                    <w:szCs w:val="21"/>
                    <w:lang w:eastAsia="zh-CN"/>
                    <w14:textFill>
                      <w14:solidFill>
                        <w14:schemeClr w14:val="tx1"/>
                      </w14:solidFill>
                    </w14:textFill>
                  </w:rPr>
                  <w:t>□</w:t>
                </w:r>
                <w:permEnd w:id="15"/>
                <w:r>
                  <w:rPr>
                    <w:rFonts w:hint="eastAsia" w:ascii="Segoe UI Symbol" w:hAnsi="Segoe UI Symbol" w:cs="Segoe UI Symbol"/>
                    <w:color w:val="auto"/>
                    <w:lang w:val="en-US" w:eastAsia="zh-CN"/>
                  </w:rPr>
                  <w:t>保安服务管理体系</w:t>
                </w:r>
              </w:sdtContent>
            </w:sdt>
          </w:p>
        </w:tc>
      </w:tr>
      <w:tr w14:paraId="6C2CA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0003" w:type="dxa"/>
            <w:gridSpan w:val="3"/>
          </w:tcPr>
          <w:p w14:paraId="2B7B2733">
            <w:pPr>
              <w:pStyle w:val="5"/>
              <w:spacing w:before="156" w:beforeLines="50"/>
              <w:rPr>
                <w:rFonts w:hint="eastAsia" w:hAnsi="宋体" w:cs="宋体"/>
                <w:color w:val="auto"/>
              </w:rPr>
            </w:pPr>
            <w:permStart w:id="16" w:edGrp="everyone"/>
            <w:r>
              <w:rPr>
                <w:rFonts w:hint="eastAsia" w:ascii="宋体" w:hAnsi="宋体"/>
                <w:bCs/>
                <w:color w:val="000000" w:themeColor="text1"/>
                <w:sz w:val="21"/>
                <w:szCs w:val="21"/>
                <w:lang w:eastAsia="zh-CN"/>
                <w14:textFill>
                  <w14:solidFill>
                    <w14:schemeClr w14:val="tx1"/>
                  </w14:solidFill>
                </w14:textFill>
              </w:rPr>
              <w:t>□</w:t>
            </w:r>
            <w:permEnd w:id="16"/>
            <w:r>
              <w:rPr>
                <w:rFonts w:hint="eastAsia" w:hAnsi="宋体" w:cs="宋体"/>
                <w:color w:val="auto"/>
              </w:rPr>
              <w:t>其他：</w:t>
            </w:r>
          </w:p>
        </w:tc>
      </w:tr>
    </w:tbl>
    <w:p w14:paraId="17E966EF">
      <w:pPr>
        <w:pStyle w:val="5"/>
        <w:spacing w:before="156" w:beforeLines="50" w:line="276" w:lineRule="auto"/>
        <w:ind w:firstLine="420" w:firstLineChars="200"/>
        <w:rPr>
          <w:rFonts w:hAnsi="宋体"/>
          <w:color w:val="auto"/>
          <w:lang w:val="de-DE"/>
        </w:rPr>
      </w:pPr>
      <w:r>
        <w:rPr>
          <w:rFonts w:hint="eastAsia" w:hAnsi="宋体"/>
          <w:color w:val="auto"/>
        </w:rPr>
        <w:t>甲方建立管理体系的依据、申请认证的类型等详细信息参见相应管理体系的认证申请书。</w:t>
      </w:r>
    </w:p>
    <w:p w14:paraId="701E92AC">
      <w:pPr>
        <w:spacing w:line="276" w:lineRule="auto"/>
        <w:ind w:firstLine="420" w:firstLineChars="200"/>
        <w:rPr>
          <w:rFonts w:ascii="宋体" w:hAnsi="宋体"/>
          <w:color w:val="auto"/>
          <w:szCs w:val="21"/>
          <w:u w:val="single"/>
        </w:rPr>
      </w:pPr>
      <w:r>
        <w:rPr>
          <w:rFonts w:hint="eastAsia" w:ascii="宋体" w:hAnsi="宋体"/>
          <w:color w:val="auto"/>
          <w:szCs w:val="21"/>
        </w:rPr>
        <w:t xml:space="preserve">2、认证类型： </w:t>
      </w:r>
      <w:permStart w:id="17" w:edGrp="everyone"/>
      <w:r>
        <w:rPr>
          <w:rFonts w:hint="eastAsia"/>
        </w:rPr>
        <w:t>□</w:t>
      </w:r>
      <w:permEnd w:id="17"/>
      <w:r>
        <w:rPr>
          <w:rFonts w:hint="eastAsia" w:ascii="宋体" w:hAnsi="宋体"/>
          <w:color w:val="auto"/>
          <w:szCs w:val="21"/>
        </w:rPr>
        <w:t xml:space="preserve">初次认证    </w:t>
      </w:r>
      <w:permStart w:id="18" w:edGrp="everyone"/>
      <w:r>
        <w:rPr>
          <w:rFonts w:hint="eastAsia"/>
        </w:rPr>
        <w:t>□</w:t>
      </w:r>
      <w:permEnd w:id="18"/>
      <w:r>
        <w:rPr>
          <w:rFonts w:hint="eastAsia" w:ascii="宋体" w:hAnsi="宋体"/>
          <w:color w:val="auto"/>
          <w:szCs w:val="21"/>
        </w:rPr>
        <w:t xml:space="preserve">监督    </w:t>
      </w:r>
      <w:permStart w:id="19" w:edGrp="everyone"/>
      <w:r>
        <w:rPr>
          <w:rFonts w:hint="eastAsia"/>
        </w:rPr>
        <w:t>□</w:t>
      </w:r>
      <w:permEnd w:id="19"/>
      <w:r>
        <w:rPr>
          <w:rFonts w:hint="eastAsia" w:ascii="宋体" w:hAnsi="宋体"/>
          <w:color w:val="auto"/>
          <w:szCs w:val="21"/>
        </w:rPr>
        <w:t xml:space="preserve">再认证    </w:t>
      </w:r>
      <w:permStart w:id="20" w:edGrp="everyone"/>
      <w:r>
        <w:rPr>
          <w:rFonts w:hint="eastAsia"/>
        </w:rPr>
        <w:t>□</w:t>
      </w:r>
      <w:permEnd w:id="20"/>
      <w:r>
        <w:rPr>
          <w:rFonts w:hint="eastAsia" w:ascii="宋体" w:hAnsi="宋体"/>
          <w:color w:val="auto"/>
          <w:szCs w:val="21"/>
        </w:rPr>
        <w:t xml:space="preserve">转换      </w:t>
      </w:r>
      <w:permStart w:id="21" w:edGrp="everyone"/>
      <w:r>
        <w:rPr>
          <w:rFonts w:hint="eastAsia"/>
        </w:rPr>
        <w:t>□</w:t>
      </w:r>
      <w:permEnd w:id="21"/>
      <w:r>
        <w:rPr>
          <w:rFonts w:hint="eastAsia" w:ascii="宋体" w:hAnsi="宋体"/>
          <w:color w:val="auto"/>
          <w:szCs w:val="21"/>
        </w:rPr>
        <w:t>其他</w:t>
      </w:r>
    </w:p>
    <w:p w14:paraId="5FEDC4FF">
      <w:pPr>
        <w:spacing w:line="276" w:lineRule="auto"/>
        <w:ind w:firstLine="420" w:firstLineChars="200"/>
        <w:rPr>
          <w:rFonts w:ascii="宋体" w:hAnsi="宋体"/>
          <w:color w:val="auto"/>
          <w:szCs w:val="21"/>
          <w:u w:val="single"/>
        </w:rPr>
      </w:pPr>
      <w:r>
        <w:rPr>
          <w:rFonts w:hint="eastAsia" w:ascii="宋体" w:hAnsi="宋体"/>
          <w:color w:val="auto"/>
          <w:szCs w:val="21"/>
        </w:rPr>
        <w:t>3、甲方管理体系覆盖的总人数：</w:t>
      </w:r>
      <w:permStart w:id="22" w:edGrp="everyone"/>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permEnd w:id="22"/>
      <w:r>
        <w:rPr>
          <w:rFonts w:hint="eastAsia" w:ascii="宋体" w:hAnsi="宋体"/>
          <w:color w:val="auto"/>
          <w:szCs w:val="21"/>
        </w:rPr>
        <w:t>；</w:t>
      </w:r>
    </w:p>
    <w:p w14:paraId="3FAB55DC">
      <w:pPr>
        <w:spacing w:line="276" w:lineRule="auto"/>
        <w:ind w:firstLine="420" w:firstLineChars="200"/>
        <w:rPr>
          <w:rFonts w:ascii="宋体" w:hAnsi="宋体"/>
          <w:strike/>
          <w:color w:val="auto"/>
          <w:szCs w:val="21"/>
        </w:rPr>
      </w:pPr>
      <w:r>
        <w:rPr>
          <w:rFonts w:hint="eastAsia" w:ascii="宋体" w:hAnsi="宋体"/>
          <w:color w:val="auto"/>
          <w:szCs w:val="21"/>
        </w:rPr>
        <w:t>4、</w:t>
      </w:r>
      <w:r>
        <w:rPr>
          <w:rFonts w:hint="eastAsia" w:ascii="宋体" w:hAnsi="宋体"/>
          <w:color w:val="auto"/>
          <w:szCs w:val="21"/>
          <w:highlight w:val="none"/>
        </w:rPr>
        <w:t>管理体系认证范围等内容，以现场审核及认证决定最终确认的为准</w:t>
      </w:r>
      <w:r>
        <w:rPr>
          <w:rFonts w:hint="eastAsia" w:ascii="宋体" w:hAnsi="宋体"/>
          <w:color w:val="auto"/>
          <w:szCs w:val="21"/>
        </w:rPr>
        <w:t>。</w:t>
      </w:r>
    </w:p>
    <w:p w14:paraId="2B09AFFD">
      <w:pPr>
        <w:spacing w:line="276" w:lineRule="auto"/>
        <w:ind w:firstLine="420" w:firstLineChars="200"/>
        <w:rPr>
          <w:rFonts w:ascii="宋体" w:hAnsi="宋体"/>
          <w:color w:val="auto"/>
          <w:szCs w:val="21"/>
        </w:rPr>
      </w:pPr>
      <w:r>
        <w:rPr>
          <w:rFonts w:ascii="宋体" w:hAnsi="宋体"/>
          <w:color w:val="auto"/>
          <w:szCs w:val="21"/>
        </w:rPr>
        <w:t>5</w:t>
      </w:r>
      <w:r>
        <w:rPr>
          <w:rFonts w:hint="eastAsia" w:ascii="宋体" w:hAnsi="宋体"/>
          <w:color w:val="auto"/>
          <w:szCs w:val="21"/>
        </w:rPr>
        <w:t>、甲方希望现场认证审核日期为</w:t>
      </w:r>
      <w:permStart w:id="23" w:edGrp="everyone"/>
      <w:r>
        <w:rPr>
          <w:rFonts w:hint="eastAsia" w:ascii="宋体" w:hAnsi="宋体"/>
          <w:color w:val="auto"/>
          <w:szCs w:val="21"/>
        </w:rPr>
        <w:t xml:space="preserve">   年   月   日</w:t>
      </w:r>
      <w:permEnd w:id="23"/>
      <w:r>
        <w:rPr>
          <w:rFonts w:hint="eastAsia" w:ascii="宋体" w:hAnsi="宋体"/>
          <w:color w:val="auto"/>
          <w:szCs w:val="21"/>
        </w:rPr>
        <w:t>，具体审核日期以双方最终协商一致的时间为准。因一方原因不能实施现场审核，责任方应提前七天通知对方。</w:t>
      </w:r>
    </w:p>
    <w:p w14:paraId="2DB1594C">
      <w:pPr>
        <w:spacing w:line="276" w:lineRule="auto"/>
        <w:ind w:firstLine="420" w:firstLineChars="200"/>
        <w:rPr>
          <w:rFonts w:ascii="宋体" w:hAnsi="宋体"/>
          <w:color w:val="auto"/>
          <w:szCs w:val="21"/>
        </w:rPr>
      </w:pPr>
      <w:r>
        <w:rPr>
          <w:rFonts w:ascii="宋体" w:hAnsi="宋体"/>
          <w:color w:val="auto"/>
          <w:szCs w:val="21"/>
        </w:rPr>
        <w:t>6</w:t>
      </w:r>
      <w:r>
        <w:rPr>
          <w:rFonts w:hint="eastAsia" w:ascii="宋体" w:hAnsi="宋体"/>
          <w:color w:val="auto"/>
          <w:szCs w:val="21"/>
        </w:rPr>
        <w:t>、认证证书有效期为三年，在三年有效期内，乙方将对甲方进行两次监督审核。第一次监督审核在认证决定后12个月内进行，此后每次监督审核间隔不应超过12个月。</w:t>
      </w:r>
    </w:p>
    <w:p w14:paraId="07BB9107">
      <w:pPr>
        <w:spacing w:line="276" w:lineRule="auto"/>
        <w:ind w:firstLine="420" w:firstLineChars="200"/>
        <w:rPr>
          <w:rFonts w:ascii="宋体" w:hAnsi="宋体"/>
          <w:color w:val="auto"/>
          <w:szCs w:val="21"/>
        </w:rPr>
      </w:pPr>
      <w:r>
        <w:rPr>
          <w:rFonts w:ascii="宋体" w:hAnsi="宋体"/>
          <w:color w:val="auto"/>
          <w:szCs w:val="21"/>
        </w:rPr>
        <w:t>7</w:t>
      </w:r>
      <w:r>
        <w:rPr>
          <w:rFonts w:hint="eastAsia" w:ascii="宋体" w:hAnsi="宋体"/>
          <w:color w:val="auto"/>
          <w:szCs w:val="21"/>
        </w:rPr>
        <w:t>、若在证书有效期内扩大认证范围、甲方发生重大问题、管理体系发生重大变更时，为保证认证的有效性，乙方可适当增加监督审核次数。</w:t>
      </w:r>
    </w:p>
    <w:p w14:paraId="41B779E8">
      <w:pPr>
        <w:pStyle w:val="5"/>
        <w:spacing w:before="156" w:beforeLines="50" w:line="276" w:lineRule="auto"/>
        <w:rPr>
          <w:rFonts w:hAnsi="宋体"/>
          <w:b/>
          <w:color w:val="auto"/>
        </w:rPr>
      </w:pPr>
      <w:r>
        <w:rPr>
          <w:rFonts w:hint="eastAsia" w:hAnsi="宋体"/>
          <w:b/>
          <w:color w:val="auto"/>
        </w:rPr>
        <w:t>二、认证费用及付款方式</w:t>
      </w:r>
    </w:p>
    <w:p w14:paraId="36CC943F">
      <w:pPr>
        <w:spacing w:line="276" w:lineRule="auto"/>
        <w:ind w:firstLine="422" w:firstLineChars="200"/>
        <w:rPr>
          <w:rFonts w:ascii="宋体" w:hAnsi="宋体" w:cs="宋体"/>
          <w:b/>
          <w:bCs/>
          <w:color w:val="auto"/>
          <w:szCs w:val="21"/>
        </w:rPr>
      </w:pPr>
      <w:r>
        <w:rPr>
          <w:rFonts w:hint="eastAsia" w:ascii="宋体" w:hAnsi="宋体" w:cs="宋体"/>
          <w:b/>
          <w:bCs/>
          <w:color w:val="auto"/>
          <w:szCs w:val="21"/>
        </w:rPr>
        <w:t>1</w:t>
      </w:r>
      <w:r>
        <w:rPr>
          <w:rFonts w:ascii="宋体" w:hAnsi="宋体" w:cs="宋体"/>
          <w:b/>
          <w:bCs/>
          <w:color w:val="auto"/>
          <w:szCs w:val="21"/>
        </w:rPr>
        <w:t>、</w:t>
      </w:r>
      <w:r>
        <w:rPr>
          <w:rFonts w:hint="eastAsia" w:ascii="宋体" w:hAnsi="宋体" w:cs="宋体"/>
          <w:b/>
          <w:bCs/>
          <w:color w:val="auto"/>
          <w:szCs w:val="21"/>
        </w:rPr>
        <w:t>初审</w:t>
      </w:r>
      <w:r>
        <w:rPr>
          <w:rFonts w:ascii="宋体" w:hAnsi="宋体" w:cs="宋体"/>
          <w:b/>
          <w:bCs/>
          <w:color w:val="auto"/>
          <w:szCs w:val="21"/>
        </w:rPr>
        <w:t>认证费</w:t>
      </w:r>
      <w:r>
        <w:rPr>
          <w:rFonts w:hint="eastAsia" w:ascii="宋体" w:hAnsi="宋体" w:cs="宋体"/>
          <w:b/>
          <w:bCs/>
          <w:color w:val="auto"/>
          <w:szCs w:val="21"/>
        </w:rPr>
        <w:t>用</w:t>
      </w:r>
      <w:r>
        <w:rPr>
          <w:rFonts w:ascii="宋体" w:hAnsi="宋体" w:cs="宋体"/>
          <w:b/>
          <w:bCs/>
          <w:color w:val="auto"/>
          <w:szCs w:val="21"/>
        </w:rPr>
        <w:t>：（申请费+注册费+审核费）</w:t>
      </w:r>
    </w:p>
    <w:p w14:paraId="615FFBFE">
      <w:pPr>
        <w:pStyle w:val="5"/>
        <w:spacing w:before="50" w:after="50" w:line="276" w:lineRule="auto"/>
        <w:ind w:firstLine="420" w:firstLineChars="200"/>
        <w:rPr>
          <w:rFonts w:hAnsi="宋体" w:cs="宋体"/>
          <w:color w:val="auto"/>
        </w:rPr>
      </w:pPr>
      <w:r>
        <w:rPr>
          <w:rFonts w:hint="eastAsia" w:hAnsi="宋体" w:cs="宋体"/>
          <w:color w:val="auto"/>
        </w:rPr>
        <w:t>申请费（</w:t>
      </w:r>
      <w:r>
        <w:rPr>
          <w:rFonts w:hint="eastAsia" w:hAnsi="宋体" w:cs="宋体"/>
          <w:color w:val="auto"/>
          <w:lang w:val="en-US" w:eastAsia="zh-CN"/>
        </w:rPr>
        <w:t>500</w:t>
      </w:r>
      <w:r>
        <w:rPr>
          <w:rFonts w:hint="eastAsia" w:hAnsi="宋体" w:cs="宋体"/>
          <w:color w:val="auto"/>
        </w:rPr>
        <w:t>/体系）合计：</w:t>
      </w:r>
      <w:permStart w:id="24" w:edGrp="everyone"/>
      <w:r>
        <w:rPr>
          <w:rFonts w:hint="eastAsia" w:hAnsi="宋体" w:cs="宋体"/>
          <w:color w:val="auto"/>
          <w:u w:val="single"/>
        </w:rPr>
        <w:t xml:space="preserve">                  </w:t>
      </w:r>
      <w:permEnd w:id="24"/>
      <w:r>
        <w:rPr>
          <w:rFonts w:hint="eastAsia" w:hAnsi="宋体" w:cs="宋体"/>
          <w:color w:val="auto"/>
        </w:rPr>
        <w:t xml:space="preserve"> 元 </w:t>
      </w:r>
      <w:permStart w:id="25" w:edGrp="everyone"/>
      <w:r>
        <w:rPr>
          <w:rFonts w:hint="eastAsia" w:hAnsi="宋体" w:cs="宋体"/>
          <w:color w:val="auto"/>
          <w:u w:val="single"/>
        </w:rPr>
        <w:t xml:space="preserve">                  </w:t>
      </w:r>
      <w:permEnd w:id="25"/>
      <w:r>
        <w:rPr>
          <w:rFonts w:hint="eastAsia" w:hAnsi="宋体" w:cs="宋体"/>
          <w:color w:val="auto"/>
        </w:rPr>
        <w:t>（大写）</w:t>
      </w:r>
    </w:p>
    <w:p w14:paraId="3A532793">
      <w:pPr>
        <w:pStyle w:val="5"/>
        <w:spacing w:before="50" w:after="50" w:line="276" w:lineRule="auto"/>
        <w:ind w:firstLine="420" w:firstLineChars="200"/>
        <w:rPr>
          <w:rFonts w:hAnsi="宋体" w:cs="宋体"/>
          <w:color w:val="auto"/>
        </w:rPr>
      </w:pPr>
      <w:r>
        <w:rPr>
          <w:rFonts w:hint="eastAsia" w:hAnsi="宋体"/>
          <w:color w:val="auto"/>
        </w:rPr>
        <w:t>审定与注册费</w:t>
      </w:r>
      <w:r>
        <w:rPr>
          <w:rFonts w:hint="eastAsia" w:hAnsi="宋体" w:cs="宋体"/>
          <w:color w:val="auto"/>
        </w:rPr>
        <w:t>（</w:t>
      </w:r>
      <w:r>
        <w:rPr>
          <w:rFonts w:hint="eastAsia" w:hAnsi="宋体" w:cs="宋体"/>
          <w:color w:val="auto"/>
          <w:lang w:val="en-US" w:eastAsia="zh-CN"/>
        </w:rPr>
        <w:t>1</w:t>
      </w:r>
      <w:r>
        <w:rPr>
          <w:rFonts w:hint="eastAsia" w:hAnsi="宋体" w:cs="宋体"/>
          <w:color w:val="auto"/>
        </w:rPr>
        <w:t>000/体系）合计：</w:t>
      </w:r>
      <w:permStart w:id="26" w:edGrp="everyone"/>
      <w:r>
        <w:rPr>
          <w:rFonts w:hint="eastAsia" w:hAnsi="宋体" w:cs="宋体"/>
          <w:color w:val="auto"/>
          <w:u w:val="single"/>
        </w:rPr>
        <w:t xml:space="preserve">           </w:t>
      </w:r>
      <w:permEnd w:id="26"/>
      <w:r>
        <w:rPr>
          <w:rFonts w:hint="eastAsia" w:hAnsi="宋体" w:cs="宋体"/>
          <w:color w:val="auto"/>
        </w:rPr>
        <w:t xml:space="preserve"> 元 </w:t>
      </w:r>
      <w:permStart w:id="27" w:edGrp="everyone"/>
      <w:r>
        <w:rPr>
          <w:rFonts w:hint="eastAsia" w:hAnsi="宋体" w:cs="宋体"/>
          <w:color w:val="auto"/>
          <w:u w:val="single"/>
        </w:rPr>
        <w:t xml:space="preserve">                  </w:t>
      </w:r>
      <w:permEnd w:id="27"/>
      <w:r>
        <w:rPr>
          <w:rFonts w:hint="eastAsia" w:hAnsi="宋体" w:cs="宋体"/>
          <w:color w:val="auto"/>
        </w:rPr>
        <w:t>（大写）</w:t>
      </w:r>
    </w:p>
    <w:p w14:paraId="23220640">
      <w:pPr>
        <w:pStyle w:val="5"/>
        <w:spacing w:before="50" w:after="50" w:line="276" w:lineRule="auto"/>
        <w:ind w:firstLine="420" w:firstLineChars="200"/>
        <w:rPr>
          <w:rFonts w:hAnsi="宋体" w:cs="宋体"/>
          <w:color w:val="auto"/>
        </w:rPr>
      </w:pPr>
      <w:r>
        <w:rPr>
          <w:rFonts w:hint="eastAsia" w:hAnsi="宋体" w:cs="宋体"/>
          <w:color w:val="auto"/>
        </w:rPr>
        <w:t>审核费合计：</w:t>
      </w:r>
      <w:permStart w:id="28" w:edGrp="everyone"/>
      <w:r>
        <w:rPr>
          <w:rFonts w:hint="eastAsia" w:hAnsi="宋体" w:cs="宋体"/>
          <w:color w:val="auto"/>
          <w:u w:val="single"/>
        </w:rPr>
        <w:t xml:space="preserve">                       </w:t>
      </w:r>
      <w:r>
        <w:rPr>
          <w:rFonts w:hint="eastAsia" w:hAnsi="宋体" w:cs="宋体"/>
          <w:color w:val="auto"/>
          <w:u w:val="single"/>
          <w:lang w:val="en-US" w:eastAsia="zh-CN"/>
        </w:rPr>
        <w:t xml:space="preserve"> </w:t>
      </w:r>
      <w:r>
        <w:rPr>
          <w:rFonts w:hint="eastAsia" w:hAnsi="宋体" w:cs="宋体"/>
          <w:color w:val="auto"/>
          <w:u w:val="single"/>
        </w:rPr>
        <w:t xml:space="preserve">      </w:t>
      </w:r>
      <w:permEnd w:id="28"/>
      <w:r>
        <w:rPr>
          <w:rFonts w:hint="eastAsia" w:hAnsi="宋体" w:cs="宋体"/>
          <w:color w:val="auto"/>
        </w:rPr>
        <w:t xml:space="preserve"> 元 </w:t>
      </w:r>
      <w:permStart w:id="29" w:edGrp="everyone"/>
      <w:r>
        <w:rPr>
          <w:rFonts w:hint="eastAsia" w:hAnsi="宋体" w:cs="宋体"/>
          <w:color w:val="auto"/>
          <w:u w:val="single"/>
        </w:rPr>
        <w:t xml:space="preserve">                  </w:t>
      </w:r>
      <w:permEnd w:id="29"/>
      <w:r>
        <w:rPr>
          <w:rFonts w:hint="eastAsia" w:hAnsi="宋体" w:cs="宋体"/>
          <w:color w:val="auto"/>
        </w:rPr>
        <w:t>（大写）</w:t>
      </w:r>
    </w:p>
    <w:p w14:paraId="6B56828A">
      <w:pPr>
        <w:pStyle w:val="5"/>
        <w:spacing w:before="50" w:after="50" w:line="276" w:lineRule="auto"/>
        <w:ind w:firstLine="420" w:firstLineChars="200"/>
        <w:rPr>
          <w:rFonts w:hAnsi="宋体" w:cs="宋体"/>
          <w:color w:val="auto"/>
        </w:rPr>
      </w:pPr>
      <w:r>
        <w:rPr>
          <w:rFonts w:hint="eastAsia" w:hAnsi="宋体" w:cs="宋体"/>
          <w:color w:val="auto"/>
        </w:rPr>
        <w:t>初审</w:t>
      </w:r>
      <w:r>
        <w:rPr>
          <w:rFonts w:hAnsi="宋体" w:cs="宋体"/>
          <w:color w:val="auto"/>
        </w:rPr>
        <w:t>认证费合计：</w:t>
      </w:r>
      <w:permStart w:id="30" w:edGrp="everyone"/>
      <w:r>
        <w:rPr>
          <w:rFonts w:hint="eastAsia" w:hAnsi="宋体" w:cs="宋体"/>
          <w:color w:val="auto"/>
          <w:u w:val="single"/>
        </w:rPr>
        <w:t xml:space="preserve">                   </w:t>
      </w:r>
      <w:r>
        <w:rPr>
          <w:rFonts w:hint="eastAsia" w:hAnsi="宋体" w:cs="宋体"/>
          <w:color w:val="auto"/>
          <w:u w:val="single"/>
          <w:lang w:val="en-US" w:eastAsia="zh-CN"/>
        </w:rPr>
        <w:t xml:space="preserve"> </w:t>
      </w:r>
      <w:r>
        <w:rPr>
          <w:rFonts w:hint="eastAsia" w:hAnsi="宋体" w:cs="宋体"/>
          <w:color w:val="auto"/>
          <w:u w:val="single"/>
        </w:rPr>
        <w:t xml:space="preserve">      </w:t>
      </w:r>
      <w:permEnd w:id="30"/>
      <w:r>
        <w:rPr>
          <w:rFonts w:hint="eastAsia" w:hAnsi="宋体" w:cs="宋体"/>
          <w:color w:val="auto"/>
        </w:rPr>
        <w:t xml:space="preserve"> </w:t>
      </w:r>
      <w:r>
        <w:rPr>
          <w:rFonts w:hAnsi="宋体" w:cs="宋体"/>
          <w:color w:val="auto"/>
        </w:rPr>
        <w:t>元</w:t>
      </w:r>
      <w:r>
        <w:rPr>
          <w:rFonts w:hint="eastAsia" w:hAnsi="宋体" w:cs="宋体"/>
          <w:color w:val="auto"/>
        </w:rPr>
        <w:t xml:space="preserve"> </w:t>
      </w:r>
      <w:permStart w:id="31" w:edGrp="everyone"/>
      <w:r>
        <w:rPr>
          <w:rFonts w:hint="eastAsia" w:hAnsi="宋体" w:cs="宋体"/>
          <w:color w:val="auto"/>
          <w:u w:val="single"/>
        </w:rPr>
        <w:t xml:space="preserve">                  </w:t>
      </w:r>
      <w:permEnd w:id="31"/>
      <w:r>
        <w:rPr>
          <w:rFonts w:hint="eastAsia" w:hAnsi="宋体" w:cs="宋体"/>
          <w:color w:val="auto"/>
        </w:rPr>
        <w:t>（大写）</w:t>
      </w:r>
    </w:p>
    <w:p w14:paraId="70DAD84C">
      <w:pPr>
        <w:spacing w:line="276" w:lineRule="auto"/>
        <w:ind w:firstLine="422" w:firstLineChars="200"/>
        <w:rPr>
          <w:rFonts w:ascii="宋体" w:hAnsi="宋体"/>
          <w:b/>
          <w:bCs/>
          <w:color w:val="auto"/>
          <w:spacing w:val="-2"/>
          <w:szCs w:val="21"/>
        </w:rPr>
      </w:pPr>
      <w:r>
        <w:rPr>
          <w:rFonts w:hint="eastAsia" w:ascii="宋体" w:hAnsi="宋体" w:cs="宋体"/>
          <w:b/>
          <w:bCs/>
          <w:color w:val="auto"/>
          <w:szCs w:val="21"/>
        </w:rPr>
        <w:t>2、监督</w:t>
      </w:r>
      <w:r>
        <w:rPr>
          <w:rFonts w:ascii="宋体" w:hAnsi="宋体" w:cs="宋体"/>
          <w:b/>
          <w:bCs/>
          <w:color w:val="auto"/>
          <w:szCs w:val="21"/>
        </w:rPr>
        <w:t>费</w:t>
      </w:r>
      <w:r>
        <w:rPr>
          <w:rFonts w:hint="eastAsia" w:ascii="宋体" w:hAnsi="宋体" w:cs="宋体"/>
          <w:b/>
          <w:bCs/>
          <w:color w:val="auto"/>
          <w:szCs w:val="21"/>
        </w:rPr>
        <w:t>用</w:t>
      </w:r>
      <w:r>
        <w:rPr>
          <w:rFonts w:ascii="宋体" w:hAnsi="宋体" w:cs="宋体"/>
          <w:b/>
          <w:bCs/>
          <w:color w:val="auto"/>
          <w:szCs w:val="21"/>
        </w:rPr>
        <w:t>：（年金+审核费）</w:t>
      </w:r>
    </w:p>
    <w:p w14:paraId="16A8D8AB">
      <w:pPr>
        <w:pStyle w:val="5"/>
        <w:spacing w:before="50" w:after="50" w:line="276" w:lineRule="auto"/>
        <w:ind w:firstLine="420" w:firstLineChars="200"/>
        <w:rPr>
          <w:rFonts w:hAnsi="宋体" w:cs="宋体"/>
          <w:color w:val="auto"/>
        </w:rPr>
      </w:pPr>
      <w:r>
        <w:rPr>
          <w:rFonts w:hint="eastAsia" w:hAnsi="宋体"/>
          <w:color w:val="auto"/>
        </w:rPr>
        <w:t>年金</w:t>
      </w:r>
      <w:r>
        <w:rPr>
          <w:rFonts w:hint="eastAsia" w:hAnsi="宋体" w:cs="宋体"/>
          <w:color w:val="auto"/>
        </w:rPr>
        <w:t>（</w:t>
      </w:r>
      <w:r>
        <w:rPr>
          <w:rFonts w:hint="eastAsia" w:hAnsi="宋体" w:cs="宋体"/>
          <w:color w:val="auto"/>
          <w:lang w:val="en-US" w:eastAsia="zh-CN"/>
        </w:rPr>
        <w:t>1</w:t>
      </w:r>
      <w:r>
        <w:rPr>
          <w:rFonts w:hint="eastAsia" w:hAnsi="宋体" w:cs="宋体"/>
          <w:color w:val="auto"/>
        </w:rPr>
        <w:t>000/体系）合计：</w:t>
      </w:r>
      <w:permStart w:id="32" w:edGrp="everyone"/>
      <w:r>
        <w:rPr>
          <w:rFonts w:hint="eastAsia" w:hAnsi="宋体" w:cs="宋体"/>
          <w:color w:val="auto"/>
          <w:u w:val="single"/>
        </w:rPr>
        <w:t xml:space="preserve">                   </w:t>
      </w:r>
      <w:permEnd w:id="32"/>
      <w:r>
        <w:rPr>
          <w:rFonts w:hint="eastAsia" w:hAnsi="宋体" w:cs="宋体"/>
          <w:color w:val="auto"/>
        </w:rPr>
        <w:t xml:space="preserve"> 元 </w:t>
      </w:r>
      <w:permStart w:id="33" w:edGrp="everyone"/>
      <w:r>
        <w:rPr>
          <w:rFonts w:hint="eastAsia" w:hAnsi="宋体" w:cs="宋体"/>
          <w:color w:val="auto"/>
          <w:u w:val="single"/>
        </w:rPr>
        <w:t xml:space="preserve">                 </w:t>
      </w:r>
      <w:permEnd w:id="33"/>
      <w:r>
        <w:rPr>
          <w:rFonts w:hint="eastAsia" w:hAnsi="宋体" w:cs="宋体"/>
          <w:color w:val="auto"/>
        </w:rPr>
        <w:t xml:space="preserve"> （大写）</w:t>
      </w:r>
    </w:p>
    <w:p w14:paraId="668CD1BD">
      <w:pPr>
        <w:pStyle w:val="5"/>
        <w:spacing w:before="50" w:after="50" w:line="276" w:lineRule="auto"/>
        <w:ind w:firstLine="420" w:firstLineChars="200"/>
        <w:rPr>
          <w:rFonts w:hint="eastAsia" w:hAnsi="宋体" w:eastAsia="宋体" w:cs="宋体"/>
          <w:color w:val="auto"/>
          <w:lang w:val="en-US" w:eastAsia="zh-CN"/>
        </w:rPr>
      </w:pPr>
      <w:r>
        <w:rPr>
          <w:rFonts w:hint="eastAsia" w:hAnsi="宋体" w:cs="宋体"/>
          <w:color w:val="auto"/>
        </w:rPr>
        <w:t>审核费合计：</w:t>
      </w:r>
      <w:permStart w:id="34" w:edGrp="everyone"/>
      <w:r>
        <w:rPr>
          <w:rFonts w:hint="eastAsia" w:hAnsi="宋体" w:cs="宋体"/>
          <w:color w:val="auto"/>
          <w:u w:val="single"/>
        </w:rPr>
        <w:t xml:space="preserve">                       </w:t>
      </w:r>
      <w:r>
        <w:rPr>
          <w:rFonts w:hint="eastAsia" w:hAnsi="宋体" w:cs="宋体"/>
          <w:color w:val="auto"/>
          <w:u w:val="single"/>
          <w:lang w:val="en-US" w:eastAsia="zh-CN"/>
        </w:rPr>
        <w:t xml:space="preserve">  </w:t>
      </w:r>
      <w:r>
        <w:rPr>
          <w:rFonts w:hint="eastAsia" w:hAnsi="宋体" w:cs="宋体"/>
          <w:color w:val="auto"/>
          <w:u w:val="single"/>
        </w:rPr>
        <w:t xml:space="preserve">     </w:t>
      </w:r>
      <w:permEnd w:id="34"/>
      <w:r>
        <w:rPr>
          <w:rFonts w:hint="eastAsia" w:hAnsi="宋体" w:cs="宋体"/>
          <w:color w:val="auto"/>
        </w:rPr>
        <w:t xml:space="preserve"> 元 </w:t>
      </w:r>
      <w:permStart w:id="35" w:edGrp="everyone"/>
      <w:r>
        <w:rPr>
          <w:rFonts w:hint="eastAsia" w:hAnsi="宋体" w:cs="宋体"/>
          <w:color w:val="auto"/>
          <w:u w:val="single"/>
        </w:rPr>
        <w:t xml:space="preserve">                 </w:t>
      </w:r>
      <w:permEnd w:id="35"/>
      <w:r>
        <w:rPr>
          <w:rFonts w:hint="eastAsia" w:hAnsi="宋体" w:cs="宋体"/>
          <w:color w:val="auto"/>
        </w:rPr>
        <w:t xml:space="preserve"> （大写）</w:t>
      </w:r>
    </w:p>
    <w:p w14:paraId="435733A6">
      <w:pPr>
        <w:pStyle w:val="5"/>
        <w:spacing w:before="50" w:after="50" w:line="276" w:lineRule="auto"/>
        <w:ind w:firstLine="420" w:firstLineChars="200"/>
        <w:rPr>
          <w:rFonts w:hAnsi="宋体" w:cs="宋体"/>
          <w:color w:val="auto"/>
        </w:rPr>
      </w:pPr>
      <w:r>
        <w:rPr>
          <w:rFonts w:hint="eastAsia" w:hAnsi="宋体" w:cs="宋体"/>
          <w:color w:val="auto"/>
        </w:rPr>
        <w:t>监督</w:t>
      </w:r>
      <w:r>
        <w:rPr>
          <w:rFonts w:hAnsi="宋体" w:cs="宋体"/>
          <w:color w:val="auto"/>
        </w:rPr>
        <w:t>认证费合计：</w:t>
      </w:r>
      <w:permStart w:id="36" w:edGrp="everyone"/>
      <w:r>
        <w:rPr>
          <w:rFonts w:hint="eastAsia" w:hAnsi="宋体" w:cs="宋体"/>
          <w:color w:val="auto"/>
          <w:u w:val="single"/>
        </w:rPr>
        <w:t xml:space="preserve">                    </w:t>
      </w:r>
      <w:r>
        <w:rPr>
          <w:rFonts w:hint="eastAsia" w:hAnsi="宋体" w:cs="宋体"/>
          <w:color w:val="auto"/>
          <w:u w:val="single"/>
          <w:lang w:val="en-US" w:eastAsia="zh-CN"/>
        </w:rPr>
        <w:t xml:space="preserve"> </w:t>
      </w:r>
      <w:r>
        <w:rPr>
          <w:rFonts w:hint="eastAsia" w:hAnsi="宋体" w:cs="宋体"/>
          <w:color w:val="auto"/>
          <w:u w:val="single"/>
        </w:rPr>
        <w:t xml:space="preserve">     </w:t>
      </w:r>
      <w:permEnd w:id="36"/>
      <w:r>
        <w:rPr>
          <w:rFonts w:hint="eastAsia" w:hAnsi="宋体" w:cs="宋体"/>
          <w:color w:val="auto"/>
        </w:rPr>
        <w:t xml:space="preserve"> </w:t>
      </w:r>
      <w:r>
        <w:rPr>
          <w:rFonts w:hAnsi="宋体" w:cs="宋体"/>
          <w:color w:val="auto"/>
        </w:rPr>
        <w:t>元</w:t>
      </w:r>
      <w:r>
        <w:rPr>
          <w:rFonts w:hint="eastAsia" w:hAnsi="宋体" w:cs="宋体"/>
          <w:color w:val="auto"/>
        </w:rPr>
        <w:t xml:space="preserve"> </w:t>
      </w:r>
      <w:permStart w:id="37" w:edGrp="everyone"/>
      <w:r>
        <w:rPr>
          <w:rFonts w:hint="eastAsia" w:hAnsi="宋体" w:cs="宋体"/>
          <w:color w:val="auto"/>
          <w:u w:val="single"/>
        </w:rPr>
        <w:t xml:space="preserve">                 </w:t>
      </w:r>
      <w:permEnd w:id="37"/>
      <w:r>
        <w:rPr>
          <w:rFonts w:hint="eastAsia" w:hAnsi="宋体" w:cs="宋体"/>
          <w:color w:val="auto"/>
        </w:rPr>
        <w:t xml:space="preserve"> （大写）</w:t>
      </w:r>
    </w:p>
    <w:p w14:paraId="0365480B">
      <w:pPr>
        <w:spacing w:line="276" w:lineRule="auto"/>
        <w:ind w:firstLine="422" w:firstLineChars="200"/>
        <w:rPr>
          <w:rFonts w:ascii="宋体" w:hAnsi="宋体" w:cs="宋体"/>
          <w:b/>
          <w:bCs/>
          <w:color w:val="auto"/>
          <w:szCs w:val="21"/>
        </w:rPr>
      </w:pPr>
      <w:r>
        <w:rPr>
          <w:rFonts w:hint="eastAsia" w:ascii="宋体" w:hAnsi="宋体" w:cs="宋体"/>
          <w:b/>
          <w:bCs/>
          <w:color w:val="auto"/>
          <w:szCs w:val="21"/>
        </w:rPr>
        <w:t>3、再认证费用</w:t>
      </w:r>
      <w:r>
        <w:rPr>
          <w:rFonts w:ascii="宋体" w:hAnsi="宋体" w:cs="宋体"/>
          <w:b/>
          <w:bCs/>
          <w:color w:val="auto"/>
          <w:szCs w:val="21"/>
        </w:rPr>
        <w:t>：（申请费+注册费+审核费）</w:t>
      </w:r>
    </w:p>
    <w:p w14:paraId="5F896E37">
      <w:pPr>
        <w:pStyle w:val="5"/>
        <w:spacing w:before="50" w:after="50" w:line="276" w:lineRule="auto"/>
        <w:ind w:firstLine="420" w:firstLineChars="200"/>
        <w:rPr>
          <w:rFonts w:hAnsi="宋体" w:cs="宋体"/>
          <w:color w:val="auto"/>
        </w:rPr>
      </w:pPr>
      <w:r>
        <w:rPr>
          <w:rFonts w:hint="eastAsia" w:hAnsi="宋体" w:cs="宋体"/>
          <w:color w:val="auto"/>
        </w:rPr>
        <w:t>申请费（</w:t>
      </w:r>
      <w:r>
        <w:rPr>
          <w:rFonts w:hint="eastAsia" w:hAnsi="宋体" w:cs="宋体"/>
          <w:color w:val="auto"/>
          <w:lang w:val="en-US" w:eastAsia="zh-CN"/>
        </w:rPr>
        <w:t>5</w:t>
      </w:r>
      <w:r>
        <w:rPr>
          <w:rFonts w:hint="eastAsia" w:hAnsi="宋体" w:cs="宋体"/>
          <w:color w:val="auto"/>
        </w:rPr>
        <w:t>00/体系）合计：</w:t>
      </w:r>
      <w:permStart w:id="38" w:edGrp="everyone"/>
      <w:r>
        <w:rPr>
          <w:rFonts w:hint="eastAsia" w:hAnsi="宋体" w:cs="宋体"/>
          <w:color w:val="auto"/>
          <w:u w:val="single"/>
        </w:rPr>
        <w:t xml:space="preserve">                  </w:t>
      </w:r>
      <w:permEnd w:id="38"/>
      <w:r>
        <w:rPr>
          <w:rFonts w:hint="eastAsia" w:hAnsi="宋体" w:cs="宋体"/>
          <w:color w:val="auto"/>
        </w:rPr>
        <w:t xml:space="preserve"> 元 </w:t>
      </w:r>
      <w:permStart w:id="39" w:edGrp="everyone"/>
      <w:r>
        <w:rPr>
          <w:rFonts w:hint="eastAsia" w:hAnsi="宋体" w:cs="宋体"/>
          <w:color w:val="auto"/>
          <w:u w:val="single"/>
        </w:rPr>
        <w:t xml:space="preserve">                  </w:t>
      </w:r>
      <w:permEnd w:id="39"/>
      <w:r>
        <w:rPr>
          <w:rFonts w:hint="eastAsia" w:hAnsi="宋体" w:cs="宋体"/>
          <w:color w:val="auto"/>
        </w:rPr>
        <w:t>（大写）</w:t>
      </w:r>
    </w:p>
    <w:p w14:paraId="365611DE">
      <w:pPr>
        <w:pStyle w:val="5"/>
        <w:spacing w:before="50" w:after="50" w:line="276" w:lineRule="auto"/>
        <w:ind w:firstLine="420" w:firstLineChars="200"/>
        <w:rPr>
          <w:rFonts w:hAnsi="宋体" w:cs="宋体"/>
          <w:color w:val="auto"/>
        </w:rPr>
      </w:pPr>
      <w:r>
        <w:rPr>
          <w:rFonts w:hint="eastAsia" w:hAnsi="宋体"/>
          <w:color w:val="auto"/>
        </w:rPr>
        <w:t>审定与注册费</w:t>
      </w:r>
      <w:r>
        <w:rPr>
          <w:rFonts w:hint="eastAsia" w:hAnsi="宋体" w:cs="宋体"/>
          <w:color w:val="auto"/>
        </w:rPr>
        <w:t>（</w:t>
      </w:r>
      <w:r>
        <w:rPr>
          <w:rFonts w:hint="eastAsia" w:hAnsi="宋体" w:cs="宋体"/>
          <w:color w:val="auto"/>
          <w:lang w:val="en-US" w:eastAsia="zh-CN"/>
        </w:rPr>
        <w:t>1</w:t>
      </w:r>
      <w:r>
        <w:rPr>
          <w:rFonts w:hint="eastAsia" w:hAnsi="宋体" w:cs="宋体"/>
          <w:color w:val="auto"/>
        </w:rPr>
        <w:t>000/体系）合计：</w:t>
      </w:r>
      <w:permStart w:id="40" w:edGrp="everyone"/>
      <w:r>
        <w:rPr>
          <w:rFonts w:hint="eastAsia" w:hAnsi="宋体" w:cs="宋体"/>
          <w:color w:val="auto"/>
          <w:u w:val="single"/>
        </w:rPr>
        <w:t xml:space="preserve">            </w:t>
      </w:r>
      <w:permEnd w:id="40"/>
      <w:r>
        <w:rPr>
          <w:rFonts w:hint="eastAsia" w:hAnsi="宋体" w:cs="宋体"/>
          <w:color w:val="auto"/>
        </w:rPr>
        <w:t xml:space="preserve"> 元 </w:t>
      </w:r>
      <w:permStart w:id="41" w:edGrp="everyone"/>
      <w:r>
        <w:rPr>
          <w:rFonts w:hint="eastAsia" w:hAnsi="宋体" w:cs="宋体"/>
          <w:color w:val="auto"/>
          <w:u w:val="single"/>
        </w:rPr>
        <w:t xml:space="preserve">                  </w:t>
      </w:r>
      <w:permEnd w:id="41"/>
      <w:r>
        <w:rPr>
          <w:rFonts w:hint="eastAsia" w:hAnsi="宋体" w:cs="宋体"/>
          <w:color w:val="auto"/>
        </w:rPr>
        <w:t>（大写）</w:t>
      </w:r>
    </w:p>
    <w:p w14:paraId="1EF83BFB">
      <w:pPr>
        <w:pStyle w:val="5"/>
        <w:spacing w:before="50" w:after="50" w:line="276" w:lineRule="auto"/>
        <w:ind w:firstLine="420" w:firstLineChars="200"/>
        <w:rPr>
          <w:rFonts w:hAnsi="宋体" w:cs="宋体"/>
          <w:color w:val="auto"/>
        </w:rPr>
      </w:pPr>
      <w:r>
        <w:rPr>
          <w:rFonts w:hint="eastAsia" w:hAnsi="宋体" w:cs="宋体"/>
          <w:color w:val="auto"/>
        </w:rPr>
        <w:t>审核费合计：</w:t>
      </w:r>
      <w:permStart w:id="42" w:edGrp="everyone"/>
      <w:r>
        <w:rPr>
          <w:rFonts w:hint="eastAsia" w:hAnsi="宋体" w:cs="宋体"/>
          <w:color w:val="auto"/>
          <w:u w:val="single"/>
        </w:rPr>
        <w:t xml:space="preserve">                               </w:t>
      </w:r>
      <w:permEnd w:id="42"/>
      <w:r>
        <w:rPr>
          <w:rFonts w:hint="eastAsia" w:hAnsi="宋体" w:cs="宋体"/>
          <w:color w:val="auto"/>
        </w:rPr>
        <w:t xml:space="preserve"> 元 </w:t>
      </w:r>
      <w:permStart w:id="43" w:edGrp="everyone"/>
      <w:r>
        <w:rPr>
          <w:rFonts w:hint="eastAsia" w:hAnsi="宋体" w:cs="宋体"/>
          <w:color w:val="auto"/>
          <w:u w:val="single"/>
        </w:rPr>
        <w:t xml:space="preserve">                  </w:t>
      </w:r>
      <w:permEnd w:id="43"/>
      <w:r>
        <w:rPr>
          <w:rFonts w:hint="eastAsia" w:hAnsi="宋体" w:cs="宋体"/>
          <w:color w:val="auto"/>
        </w:rPr>
        <w:t>（大写）</w:t>
      </w:r>
    </w:p>
    <w:p w14:paraId="3421C6DA">
      <w:pPr>
        <w:pStyle w:val="5"/>
        <w:spacing w:before="50" w:after="50" w:line="276" w:lineRule="auto"/>
        <w:ind w:firstLine="420" w:firstLineChars="200"/>
        <w:rPr>
          <w:rFonts w:hAnsi="宋体" w:cs="宋体"/>
          <w:color w:val="auto"/>
        </w:rPr>
      </w:pPr>
      <w:r>
        <w:rPr>
          <w:rFonts w:hint="eastAsia" w:hAnsi="宋体" w:cs="宋体"/>
          <w:color w:val="auto"/>
        </w:rPr>
        <w:t>再认证</w:t>
      </w:r>
      <w:r>
        <w:rPr>
          <w:rFonts w:hAnsi="宋体" w:cs="宋体"/>
          <w:color w:val="auto"/>
        </w:rPr>
        <w:t>认证费合计：</w:t>
      </w:r>
      <w:permStart w:id="44" w:edGrp="everyone"/>
      <w:r>
        <w:rPr>
          <w:rFonts w:hint="eastAsia" w:hAnsi="宋体" w:cs="宋体"/>
          <w:color w:val="auto"/>
          <w:u w:val="single"/>
        </w:rPr>
        <w:t xml:space="preserve">                         </w:t>
      </w:r>
      <w:permEnd w:id="44"/>
      <w:r>
        <w:rPr>
          <w:rFonts w:hint="eastAsia" w:hAnsi="宋体" w:cs="宋体"/>
          <w:color w:val="auto"/>
        </w:rPr>
        <w:t xml:space="preserve"> </w:t>
      </w:r>
      <w:r>
        <w:rPr>
          <w:rFonts w:hAnsi="宋体" w:cs="宋体"/>
          <w:color w:val="auto"/>
        </w:rPr>
        <w:t>元</w:t>
      </w:r>
      <w:r>
        <w:rPr>
          <w:rFonts w:hint="eastAsia" w:hAnsi="宋体" w:cs="宋体"/>
          <w:color w:val="auto"/>
        </w:rPr>
        <w:t xml:space="preserve"> </w:t>
      </w:r>
      <w:permStart w:id="45" w:edGrp="everyone"/>
      <w:r>
        <w:rPr>
          <w:rFonts w:hint="eastAsia" w:hAnsi="宋体" w:cs="宋体"/>
          <w:color w:val="auto"/>
          <w:u w:val="single"/>
        </w:rPr>
        <w:t xml:space="preserve">                  </w:t>
      </w:r>
      <w:permEnd w:id="45"/>
      <w:r>
        <w:rPr>
          <w:rFonts w:hint="eastAsia" w:hAnsi="宋体" w:cs="宋体"/>
          <w:color w:val="auto"/>
        </w:rPr>
        <w:t>（大写）</w:t>
      </w:r>
    </w:p>
    <w:p w14:paraId="0ED67BA8">
      <w:pPr>
        <w:pStyle w:val="5"/>
        <w:spacing w:before="50" w:after="50" w:line="276" w:lineRule="auto"/>
        <w:ind w:firstLine="412" w:firstLineChars="200"/>
        <w:rPr>
          <w:rFonts w:hAnsi="宋体"/>
          <w:color w:val="auto"/>
          <w:spacing w:val="-2"/>
        </w:rPr>
      </w:pPr>
      <w:r>
        <w:rPr>
          <w:rFonts w:hint="eastAsia" w:hAnsi="宋体"/>
          <w:color w:val="auto"/>
          <w:spacing w:val="-2"/>
        </w:rPr>
        <w:t>4、付款方式：</w:t>
      </w:r>
      <w:r>
        <w:rPr>
          <w:rFonts w:hint="eastAsia" w:ascii="宋体" w:hAnsi="宋体"/>
          <w:color w:val="auto"/>
          <w:szCs w:val="21"/>
        </w:rPr>
        <w:t>甲方应于每次现场审核前</w:t>
      </w:r>
      <w:r>
        <w:rPr>
          <w:rFonts w:hint="eastAsia" w:ascii="宋体" w:hAnsi="宋体"/>
          <w:color w:val="auto"/>
          <w:szCs w:val="21"/>
          <w:lang w:val="en-US" w:eastAsia="zh-CN"/>
        </w:rPr>
        <w:t>15</w:t>
      </w:r>
      <w:r>
        <w:rPr>
          <w:rFonts w:hint="eastAsia" w:ascii="宋体" w:hAnsi="宋体"/>
          <w:color w:val="auto"/>
          <w:szCs w:val="21"/>
        </w:rPr>
        <w:t>日内一次性</w:t>
      </w:r>
      <w:r>
        <w:rPr>
          <w:rFonts w:hint="eastAsia" w:ascii="宋体" w:hAnsi="宋体"/>
          <w:color w:val="auto"/>
          <w:szCs w:val="21"/>
          <w:lang w:val="en-US" w:eastAsia="zh-CN"/>
        </w:rPr>
        <w:t>缴纳</w:t>
      </w:r>
      <w:r>
        <w:rPr>
          <w:rFonts w:hint="eastAsia" w:ascii="宋体" w:hAnsi="宋体"/>
          <w:color w:val="auto"/>
          <w:szCs w:val="21"/>
        </w:rPr>
        <w:t>审核认证费</w:t>
      </w:r>
      <w:r>
        <w:rPr>
          <w:rFonts w:hint="eastAsia" w:hAnsi="宋体"/>
          <w:color w:val="auto"/>
          <w:spacing w:val="-2"/>
        </w:rPr>
        <w:t>；</w:t>
      </w:r>
    </w:p>
    <w:p w14:paraId="55528311">
      <w:pPr>
        <w:spacing w:line="276" w:lineRule="auto"/>
        <w:ind w:firstLine="412" w:firstLineChars="200"/>
        <w:rPr>
          <w:rFonts w:ascii="宋体" w:hAnsi="宋体"/>
          <w:color w:val="auto"/>
          <w:szCs w:val="21"/>
        </w:rPr>
      </w:pPr>
      <w:r>
        <w:rPr>
          <w:rFonts w:hint="eastAsia" w:ascii="宋体" w:hAnsi="宋体" w:cs="楷体_GB2312"/>
          <w:color w:val="auto"/>
          <w:spacing w:val="-2"/>
          <w:szCs w:val="21"/>
        </w:rPr>
        <w:t>5、乙方每体系免费提供中、英文认证证书各壹张（不提供英文翻译）。甲方可根据需要申请加印认证证书，每套收取人民</w:t>
      </w:r>
      <w:r>
        <w:rPr>
          <w:rFonts w:hint="eastAsia" w:ascii="宋体" w:hAnsi="宋体"/>
          <w:color w:val="auto"/>
          <w:szCs w:val="21"/>
        </w:rPr>
        <w:t>币</w:t>
      </w:r>
      <w:r>
        <w:rPr>
          <w:rFonts w:hint="eastAsia" w:ascii="宋体" w:hAnsi="宋体"/>
          <w:b/>
          <w:color w:val="auto"/>
          <w:szCs w:val="21"/>
        </w:rPr>
        <w:t>壹佰元</w:t>
      </w:r>
      <w:r>
        <w:rPr>
          <w:rFonts w:hint="eastAsia" w:ascii="宋体" w:hAnsi="宋体"/>
          <w:color w:val="auto"/>
          <w:szCs w:val="21"/>
        </w:rPr>
        <w:t>。</w:t>
      </w:r>
      <w:permStart w:id="46" w:edGrp="everyone"/>
      <w:permEnd w:id="46"/>
    </w:p>
    <w:p w14:paraId="597B155E">
      <w:pPr>
        <w:pStyle w:val="5"/>
        <w:spacing w:before="156" w:beforeLines="50" w:line="276" w:lineRule="auto"/>
        <w:rPr>
          <w:rFonts w:hAnsi="宋体"/>
          <w:b/>
          <w:bCs/>
          <w:color w:val="auto"/>
        </w:rPr>
      </w:pPr>
      <w:r>
        <w:rPr>
          <w:rFonts w:hint="eastAsia" w:hAnsi="宋体"/>
          <w:b/>
          <w:bCs/>
          <w:color w:val="auto"/>
        </w:rPr>
        <w:t>三、甲方权利和义务</w:t>
      </w:r>
    </w:p>
    <w:p w14:paraId="61EF8A18">
      <w:pPr>
        <w:spacing w:before="156" w:beforeLines="50" w:line="276" w:lineRule="auto"/>
        <w:ind w:firstLine="420" w:firstLineChars="200"/>
        <w:rPr>
          <w:rFonts w:ascii="宋体" w:hAnsi="宋体"/>
          <w:color w:val="auto"/>
          <w:szCs w:val="21"/>
        </w:rPr>
      </w:pPr>
      <w:r>
        <w:rPr>
          <w:rFonts w:hint="eastAsia" w:ascii="宋体" w:hAnsi="宋体"/>
          <w:color w:val="auto"/>
          <w:szCs w:val="21"/>
        </w:rPr>
        <w:t>1. 遵守认证认可相关法律法规和乙方认证程序要求。</w:t>
      </w:r>
    </w:p>
    <w:p w14:paraId="3D91977B">
      <w:pPr>
        <w:spacing w:line="276" w:lineRule="auto"/>
        <w:ind w:firstLine="420" w:firstLineChars="200"/>
        <w:jc w:val="left"/>
        <w:rPr>
          <w:rFonts w:ascii="宋体" w:hAnsi="宋体"/>
          <w:color w:val="auto"/>
          <w:szCs w:val="21"/>
        </w:rPr>
      </w:pPr>
      <w:r>
        <w:rPr>
          <w:rFonts w:hint="eastAsia" w:ascii="宋体" w:hAnsi="宋体"/>
          <w:color w:val="auto"/>
          <w:szCs w:val="21"/>
        </w:rPr>
        <w:t>2. 按双方约定的认证审核时间接受乙方的审核，为实施审核做出所有必要的安排。包括：检查文件，接触的所有过程、区域、记录及人员，最高管理层的代表及相关部门负责人参加首末次会议等。</w:t>
      </w:r>
    </w:p>
    <w:p w14:paraId="156D1E95">
      <w:pPr>
        <w:spacing w:line="276" w:lineRule="auto"/>
        <w:ind w:firstLine="420" w:firstLineChars="200"/>
        <w:jc w:val="left"/>
        <w:rPr>
          <w:rFonts w:ascii="宋体" w:hAnsi="宋体"/>
          <w:color w:val="auto"/>
          <w:szCs w:val="21"/>
        </w:rPr>
      </w:pPr>
      <w:r>
        <w:rPr>
          <w:rFonts w:hint="eastAsia" w:ascii="宋体" w:hAnsi="宋体"/>
          <w:color w:val="auto"/>
          <w:szCs w:val="21"/>
        </w:rPr>
        <w:t>3. 提交给乙方的管理体系文件资料真实、完整、有效，未隐瞒管理体系运行的真实情况。</w:t>
      </w:r>
    </w:p>
    <w:p w14:paraId="163AE5E4">
      <w:pPr>
        <w:spacing w:line="276" w:lineRule="auto"/>
        <w:ind w:firstLine="420" w:firstLineChars="200"/>
        <w:jc w:val="left"/>
        <w:rPr>
          <w:rFonts w:ascii="宋体" w:hAnsi="宋体"/>
          <w:color w:val="auto"/>
          <w:szCs w:val="21"/>
        </w:rPr>
      </w:pPr>
      <w:r>
        <w:rPr>
          <w:rFonts w:hint="eastAsia" w:ascii="宋体" w:hAnsi="宋体"/>
          <w:color w:val="auto"/>
          <w:szCs w:val="21"/>
        </w:rPr>
        <w:t>4、初次认证审核时管理体系运行时间不少于3个月，特定认证领域的认证规则或认证规范性文件对管理体系运行时间另有规定的，从其规定；审核前完成了内部审核和管理评审。</w:t>
      </w:r>
    </w:p>
    <w:p w14:paraId="6C92124C">
      <w:pPr>
        <w:spacing w:line="276" w:lineRule="auto"/>
        <w:ind w:firstLine="420" w:firstLineChars="200"/>
        <w:jc w:val="left"/>
        <w:rPr>
          <w:rFonts w:ascii="宋体" w:hAnsi="宋体"/>
          <w:color w:val="auto"/>
          <w:szCs w:val="21"/>
        </w:rPr>
      </w:pPr>
      <w:r>
        <w:rPr>
          <w:rFonts w:hint="eastAsia" w:ascii="宋体" w:hAnsi="宋体"/>
          <w:color w:val="auto"/>
          <w:szCs w:val="21"/>
        </w:rPr>
        <w:t>5、提供必要的工作条件，协助乙方审核人员安排交通、食宿；审核人员的食宿、交通费按实际支出由甲方承担；由于甲方原因造成审核人日或费用增加的，其增加费用由甲方承担。</w:t>
      </w:r>
    </w:p>
    <w:p w14:paraId="3AD4EFD6">
      <w:pPr>
        <w:spacing w:line="276" w:lineRule="auto"/>
        <w:ind w:firstLine="420" w:firstLineChars="200"/>
        <w:jc w:val="left"/>
        <w:rPr>
          <w:rFonts w:ascii="宋体" w:hAnsi="宋体"/>
          <w:color w:val="auto"/>
          <w:szCs w:val="21"/>
        </w:rPr>
      </w:pPr>
      <w:r>
        <w:rPr>
          <w:rFonts w:hint="eastAsia" w:ascii="宋体" w:hAnsi="宋体"/>
          <w:color w:val="auto"/>
          <w:szCs w:val="21"/>
        </w:rPr>
        <w:t>6、按期向乙方</w:t>
      </w:r>
      <w:r>
        <w:rPr>
          <w:rFonts w:hint="eastAsia" w:ascii="宋体" w:hAnsi="宋体"/>
          <w:color w:val="auto"/>
          <w:szCs w:val="21"/>
          <w:lang w:eastAsia="zh-CN"/>
        </w:rPr>
        <w:t>缴纳</w:t>
      </w:r>
      <w:r>
        <w:rPr>
          <w:rFonts w:hint="eastAsia" w:ascii="宋体" w:hAnsi="宋体"/>
          <w:color w:val="auto"/>
          <w:szCs w:val="21"/>
        </w:rPr>
        <w:t>本合同规定的认证费用。由于不按期支付，造成审核不能如期实施、证书暂停或撤销的后果由甲方承担。由于甲方管理体系运行的符合性或有效性存在重大问题，导致审核未通过，甲方仍需缴纳全部认证费用；如在现场审核时或认证有效期内甲方认证证书范围、涉及认证范围人数发生变化，认证费用双方协商后按相关法规或国家认证要求进行调整。</w:t>
      </w:r>
    </w:p>
    <w:p w14:paraId="1601B2E5">
      <w:pPr>
        <w:widowControl/>
        <w:spacing w:line="276" w:lineRule="auto"/>
        <w:ind w:firstLine="420" w:firstLineChars="200"/>
        <w:rPr>
          <w:rFonts w:ascii="宋体" w:hAnsi="宋体"/>
          <w:color w:val="auto"/>
          <w:szCs w:val="21"/>
        </w:rPr>
      </w:pPr>
      <w:r>
        <w:rPr>
          <w:rFonts w:hint="eastAsia" w:ascii="宋体" w:hAnsi="宋体"/>
          <w:color w:val="auto"/>
          <w:szCs w:val="21"/>
        </w:rPr>
        <w:t>7、甲方承诺获得认证后持续有效运行管理体系，遵守认证相关法律法规及相关要求， 如期接受乙方的例行监督审核，确保在证书有效期满前完成历次监督审核，甲方无法满足要求时应及时通知乙方。</w:t>
      </w:r>
    </w:p>
    <w:p w14:paraId="5A38BFF9">
      <w:pPr>
        <w:widowControl/>
        <w:spacing w:line="276" w:lineRule="auto"/>
        <w:ind w:firstLine="420" w:firstLineChars="200"/>
        <w:rPr>
          <w:rFonts w:ascii="宋体" w:hAnsi="宋体"/>
          <w:color w:val="auto"/>
          <w:szCs w:val="21"/>
        </w:rPr>
      </w:pPr>
      <w:r>
        <w:rPr>
          <w:rFonts w:hint="eastAsia" w:ascii="宋体" w:hAnsi="宋体"/>
          <w:color w:val="auto"/>
          <w:szCs w:val="21"/>
        </w:rPr>
        <w:t>8、通过认证后，甲方享有按规定正确使用认证证书、认证标志及正确宣传认证结果的权利。 甲方在传播媒介（如互联网、宣传册或广告）或其他文件中引用认证状态时，应按乙方公开文件的要求正确使用认证证书、认证标志和有关信息，正确宣传认证结果，不做出有关于认证资格的误导性说明，不以误导性方式使用认证文件或其任何部分。在认证资格被暂停或撤销时，应立即停止使用认证证书、认证标志及所有引用认证资格的广告材料；在认证范围被缩小或认证证书内容变更时，根据变化，企业涉及认证范围或证书内容的广告材料应做相应的修改，利用管理体系认证证书和相关文字、符号误导公众认为产品（包括服务）或过程通过认证，不得暗示认证适用于认证范围以外的活动和场所，不损害认证机构和认证制度的声誉。</w:t>
      </w:r>
    </w:p>
    <w:p w14:paraId="4E29A9EB">
      <w:pPr>
        <w:widowControl/>
        <w:spacing w:line="276" w:lineRule="auto"/>
        <w:ind w:firstLine="420" w:firstLineChars="200"/>
        <w:rPr>
          <w:rFonts w:ascii="宋体" w:hAnsi="宋体"/>
          <w:color w:val="auto"/>
          <w:szCs w:val="21"/>
        </w:rPr>
      </w:pPr>
      <w:r>
        <w:rPr>
          <w:rFonts w:hint="eastAsia" w:ascii="宋体" w:hAnsi="宋体"/>
          <w:color w:val="auto"/>
          <w:szCs w:val="21"/>
        </w:rPr>
        <w:t xml:space="preserve">9、当甲方发生以下情况时应及时向乙方进行通报，包括（但不限于）以下内容： </w:t>
      </w:r>
    </w:p>
    <w:p w14:paraId="2F687CE1">
      <w:pPr>
        <w:spacing w:line="276" w:lineRule="auto"/>
        <w:ind w:firstLine="420" w:firstLineChars="200"/>
        <w:jc w:val="left"/>
        <w:rPr>
          <w:rFonts w:ascii="宋体" w:hAnsi="宋体"/>
          <w:color w:val="auto"/>
          <w:szCs w:val="21"/>
        </w:rPr>
      </w:pPr>
      <w:r>
        <w:rPr>
          <w:rFonts w:hint="eastAsia" w:ascii="宋体" w:hAnsi="宋体"/>
          <w:color w:val="auto"/>
          <w:szCs w:val="21"/>
        </w:rPr>
        <w:t>a)法律地位、经营状况、组织状态或所有权；</w:t>
      </w:r>
    </w:p>
    <w:p w14:paraId="568B9BC7">
      <w:pPr>
        <w:spacing w:line="276" w:lineRule="auto"/>
        <w:ind w:firstLine="420" w:firstLineChars="200"/>
        <w:jc w:val="left"/>
        <w:rPr>
          <w:rFonts w:ascii="宋体" w:hAnsi="宋体"/>
          <w:color w:val="auto"/>
          <w:szCs w:val="21"/>
        </w:rPr>
      </w:pPr>
      <w:r>
        <w:rPr>
          <w:rFonts w:hint="eastAsia" w:ascii="宋体" w:hAnsi="宋体"/>
          <w:color w:val="auto"/>
          <w:szCs w:val="21"/>
        </w:rPr>
        <w:t>b)组织机构和管理层；</w:t>
      </w:r>
    </w:p>
    <w:p w14:paraId="44E40B8B">
      <w:pPr>
        <w:spacing w:line="276" w:lineRule="auto"/>
        <w:ind w:firstLine="420" w:firstLineChars="200"/>
        <w:jc w:val="left"/>
        <w:rPr>
          <w:rFonts w:ascii="宋体" w:hAnsi="宋体"/>
          <w:color w:val="auto"/>
          <w:szCs w:val="21"/>
        </w:rPr>
      </w:pPr>
      <w:r>
        <w:rPr>
          <w:rFonts w:hint="eastAsia" w:ascii="宋体" w:hAnsi="宋体"/>
          <w:color w:val="auto"/>
          <w:szCs w:val="21"/>
        </w:rPr>
        <w:t>c)联系地址和场所；</w:t>
      </w:r>
    </w:p>
    <w:p w14:paraId="7B9B9CB3">
      <w:pPr>
        <w:spacing w:line="276" w:lineRule="auto"/>
        <w:ind w:firstLine="420" w:firstLineChars="200"/>
        <w:jc w:val="left"/>
        <w:rPr>
          <w:rFonts w:ascii="宋体" w:hAnsi="宋体"/>
          <w:color w:val="auto"/>
          <w:szCs w:val="21"/>
        </w:rPr>
      </w:pPr>
      <w:r>
        <w:rPr>
          <w:rFonts w:hint="eastAsia" w:ascii="宋体" w:hAnsi="宋体"/>
          <w:color w:val="auto"/>
          <w:szCs w:val="21"/>
        </w:rPr>
        <w:t>d)获证覆盖的运作范围；</w:t>
      </w:r>
    </w:p>
    <w:p w14:paraId="1BD76AA0">
      <w:pPr>
        <w:spacing w:line="276" w:lineRule="auto"/>
        <w:ind w:firstLine="420" w:firstLineChars="200"/>
        <w:jc w:val="left"/>
        <w:rPr>
          <w:rFonts w:ascii="宋体" w:hAnsi="宋体"/>
          <w:color w:val="auto"/>
          <w:szCs w:val="21"/>
        </w:rPr>
      </w:pPr>
      <w:r>
        <w:rPr>
          <w:rFonts w:hint="eastAsia" w:ascii="宋体" w:hAnsi="宋体"/>
          <w:color w:val="auto"/>
          <w:szCs w:val="21"/>
        </w:rPr>
        <w:t>e)管理体系、产品和过程的重大变更；</w:t>
      </w:r>
    </w:p>
    <w:p w14:paraId="32224FAC">
      <w:pPr>
        <w:spacing w:line="276" w:lineRule="auto"/>
        <w:ind w:firstLine="420" w:firstLineChars="200"/>
        <w:jc w:val="left"/>
        <w:rPr>
          <w:rFonts w:ascii="宋体" w:hAnsi="宋体"/>
          <w:color w:val="auto"/>
          <w:szCs w:val="21"/>
        </w:rPr>
      </w:pPr>
      <w:r>
        <w:rPr>
          <w:rFonts w:hint="eastAsia" w:ascii="宋体" w:hAnsi="宋体"/>
          <w:color w:val="auto"/>
          <w:szCs w:val="21"/>
        </w:rPr>
        <w:t>f)有关产品、工艺、环境变化的信息；</w:t>
      </w:r>
    </w:p>
    <w:p w14:paraId="69574143">
      <w:pPr>
        <w:spacing w:line="276" w:lineRule="auto"/>
        <w:ind w:firstLine="420" w:firstLineChars="200"/>
        <w:jc w:val="left"/>
        <w:rPr>
          <w:rFonts w:ascii="宋体" w:hAnsi="宋体"/>
          <w:color w:val="auto"/>
          <w:szCs w:val="21"/>
        </w:rPr>
      </w:pPr>
      <w:r>
        <w:rPr>
          <w:rFonts w:hint="eastAsia" w:ascii="宋体" w:hAnsi="宋体"/>
          <w:color w:val="auto"/>
          <w:szCs w:val="21"/>
        </w:rPr>
        <w:t>g)有关周围发生的重大动、植物疫情的信息；</w:t>
      </w:r>
    </w:p>
    <w:p w14:paraId="536FA7FE">
      <w:pPr>
        <w:spacing w:line="276" w:lineRule="auto"/>
        <w:ind w:firstLine="420" w:firstLineChars="200"/>
        <w:jc w:val="left"/>
        <w:rPr>
          <w:rFonts w:ascii="宋体" w:hAnsi="宋体"/>
          <w:color w:val="auto"/>
          <w:szCs w:val="21"/>
        </w:rPr>
      </w:pPr>
      <w:r>
        <w:rPr>
          <w:rFonts w:hint="eastAsia" w:ascii="宋体" w:hAnsi="宋体"/>
          <w:color w:val="auto"/>
          <w:szCs w:val="21"/>
        </w:rPr>
        <w:t>h)发生与质量/环境/安全/信息安全/等有关的事故及采取的处理措施，顾客或相关方的重大投诉；</w:t>
      </w:r>
    </w:p>
    <w:p w14:paraId="7D8C9063">
      <w:pPr>
        <w:spacing w:line="276" w:lineRule="auto"/>
        <w:ind w:firstLine="420" w:firstLineChars="200"/>
        <w:jc w:val="left"/>
        <w:rPr>
          <w:rFonts w:ascii="宋体" w:hAnsi="宋体"/>
          <w:color w:val="auto"/>
          <w:szCs w:val="21"/>
        </w:rPr>
      </w:pPr>
      <w:r>
        <w:rPr>
          <w:rFonts w:hint="eastAsia" w:ascii="宋体" w:hAnsi="宋体"/>
          <w:color w:val="auto"/>
          <w:szCs w:val="21"/>
        </w:rPr>
        <w:t>i)有关检查或政府组织的市场抽查中，被发现有严重质量/环境/安全/信息安全等与认证有关问题的信息；</w:t>
      </w:r>
    </w:p>
    <w:p w14:paraId="148C335C">
      <w:pPr>
        <w:spacing w:line="276" w:lineRule="auto"/>
        <w:ind w:firstLine="420" w:firstLineChars="200"/>
        <w:jc w:val="left"/>
        <w:rPr>
          <w:rFonts w:ascii="宋体" w:hAnsi="宋体"/>
          <w:color w:val="auto"/>
          <w:szCs w:val="21"/>
        </w:rPr>
      </w:pPr>
      <w:r>
        <w:rPr>
          <w:rFonts w:hint="eastAsia" w:ascii="宋体" w:hAnsi="宋体"/>
          <w:color w:val="auto"/>
          <w:szCs w:val="21"/>
        </w:rPr>
        <w:t>j)发生可能严重损害国家安全、社会秩序、公共利益或获证组织及其相关方的合法权益的信息安全事件；其他影响管理体系运行的其他重要情况等。</w:t>
      </w:r>
    </w:p>
    <w:p w14:paraId="619AFA9B">
      <w:pPr>
        <w:spacing w:line="276" w:lineRule="auto"/>
        <w:ind w:firstLine="420" w:firstLineChars="200"/>
        <w:jc w:val="left"/>
        <w:rPr>
          <w:rFonts w:ascii="宋体" w:hAnsi="宋体"/>
          <w:color w:val="auto"/>
          <w:szCs w:val="21"/>
        </w:rPr>
      </w:pPr>
      <w:r>
        <w:rPr>
          <w:rFonts w:hint="eastAsia" w:ascii="宋体" w:hAnsi="宋体"/>
          <w:color w:val="auto"/>
          <w:szCs w:val="21"/>
        </w:rPr>
        <w:t>10、通过认证后的获证组织,应加强信息安全风险评估,及时排查安全漏洞和安全隐患。</w:t>
      </w:r>
    </w:p>
    <w:p w14:paraId="118CF044">
      <w:pPr>
        <w:spacing w:line="276" w:lineRule="auto"/>
        <w:ind w:firstLine="420" w:firstLineChars="200"/>
        <w:jc w:val="left"/>
        <w:rPr>
          <w:rFonts w:ascii="宋体" w:hAnsi="宋体"/>
          <w:color w:val="auto"/>
          <w:szCs w:val="21"/>
        </w:rPr>
      </w:pPr>
      <w:r>
        <w:rPr>
          <w:rFonts w:hint="eastAsia" w:ascii="宋体" w:hAnsi="宋体"/>
          <w:color w:val="auto"/>
          <w:szCs w:val="21"/>
        </w:rPr>
        <w:t>11、接受乙方为调查企业投诉、对变更做出回应或对暂停进行追踪以及当出现与相关法律法规要求不符合或潜在不符合时，而进行的非例行检查审核与处理。</w:t>
      </w:r>
    </w:p>
    <w:p w14:paraId="66EA2004">
      <w:pPr>
        <w:spacing w:line="276" w:lineRule="auto"/>
        <w:ind w:firstLine="420" w:firstLineChars="200"/>
        <w:jc w:val="left"/>
        <w:rPr>
          <w:rFonts w:ascii="宋体" w:hAnsi="宋体"/>
          <w:color w:val="auto"/>
          <w:szCs w:val="21"/>
        </w:rPr>
      </w:pPr>
      <w:r>
        <w:rPr>
          <w:rFonts w:hint="eastAsia" w:ascii="宋体" w:hAnsi="宋体"/>
          <w:color w:val="auto"/>
          <w:szCs w:val="21"/>
        </w:rPr>
        <w:t>12、承担因认证机构资质被撤消导致认证证书无法使用的风险。</w:t>
      </w:r>
    </w:p>
    <w:p w14:paraId="3EDB25F3">
      <w:pPr>
        <w:spacing w:line="276" w:lineRule="auto"/>
        <w:ind w:firstLine="420" w:firstLineChars="200"/>
        <w:jc w:val="left"/>
        <w:rPr>
          <w:rFonts w:ascii="宋体" w:hAnsi="宋体"/>
          <w:color w:val="auto"/>
          <w:szCs w:val="21"/>
        </w:rPr>
      </w:pPr>
      <w:r>
        <w:rPr>
          <w:rFonts w:hint="eastAsia" w:ascii="宋体" w:hAnsi="宋体"/>
          <w:color w:val="auto"/>
          <w:szCs w:val="21"/>
        </w:rPr>
        <w:t>13、接受和配合中国合格评定国家认可委员会(CNAS）对带有认可标识认证证书的获证组织进行的确认审核及见证评审活动，并告知相关保密、安全等要求；接受和配合中国国家认证认可监督管理委员会（或其委托地方市场监督管理局）对获证组织进行的抽查和稽查。</w:t>
      </w:r>
    </w:p>
    <w:p w14:paraId="784BB5B6">
      <w:pPr>
        <w:pStyle w:val="5"/>
        <w:spacing w:before="156" w:beforeLines="50" w:line="276" w:lineRule="auto"/>
        <w:rPr>
          <w:rFonts w:hAnsi="宋体"/>
          <w:b/>
          <w:bCs/>
          <w:color w:val="auto"/>
        </w:rPr>
      </w:pPr>
      <w:r>
        <w:rPr>
          <w:rFonts w:hint="eastAsia" w:hAnsi="宋体"/>
          <w:b/>
          <w:bCs/>
          <w:color w:val="auto"/>
        </w:rPr>
        <w:t>四、乙方权利和义务</w:t>
      </w:r>
    </w:p>
    <w:p w14:paraId="0B87108A">
      <w:pPr>
        <w:widowControl/>
        <w:spacing w:line="276" w:lineRule="auto"/>
        <w:ind w:firstLine="420" w:firstLineChars="200"/>
        <w:jc w:val="left"/>
        <w:rPr>
          <w:rFonts w:ascii="宋体" w:hAnsi="宋体"/>
          <w:color w:val="auto"/>
          <w:szCs w:val="21"/>
        </w:rPr>
      </w:pPr>
      <w:r>
        <w:rPr>
          <w:rFonts w:hint="eastAsia" w:ascii="宋体" w:hAnsi="宋体"/>
          <w:color w:val="auto"/>
          <w:szCs w:val="21"/>
        </w:rPr>
        <w:t>1、遵守国家认证认可相关的法律法规和规范性文件要求，客观、公正地为甲方提供认证服务。</w:t>
      </w:r>
    </w:p>
    <w:p w14:paraId="579236B4">
      <w:pPr>
        <w:widowControl/>
        <w:spacing w:line="276" w:lineRule="auto"/>
        <w:ind w:firstLine="420" w:firstLineChars="200"/>
        <w:jc w:val="left"/>
        <w:rPr>
          <w:rFonts w:ascii="宋体" w:hAnsi="宋体"/>
          <w:color w:val="auto"/>
          <w:szCs w:val="21"/>
        </w:rPr>
      </w:pPr>
      <w:r>
        <w:rPr>
          <w:rFonts w:hint="eastAsia" w:ascii="宋体" w:hAnsi="宋体"/>
          <w:color w:val="auto"/>
          <w:szCs w:val="21"/>
        </w:rPr>
        <w:t>2、向甲方提供认证资格证明文件及认证公开文件。</w:t>
      </w:r>
    </w:p>
    <w:p w14:paraId="1F49768D">
      <w:pPr>
        <w:widowControl/>
        <w:spacing w:line="276" w:lineRule="auto"/>
        <w:ind w:firstLine="420" w:firstLineChars="200"/>
        <w:jc w:val="left"/>
        <w:rPr>
          <w:rFonts w:ascii="宋体" w:hAnsi="宋体"/>
          <w:color w:val="auto"/>
          <w:szCs w:val="21"/>
        </w:rPr>
      </w:pPr>
      <w:r>
        <w:rPr>
          <w:rFonts w:hint="eastAsia" w:ascii="宋体" w:hAnsi="宋体"/>
          <w:color w:val="auto"/>
          <w:szCs w:val="21"/>
        </w:rPr>
        <w:t>3、按要求组建审核组，及时向甲方提交审核计划，经确认后实施审核。</w:t>
      </w:r>
    </w:p>
    <w:p w14:paraId="6055CCEC">
      <w:pPr>
        <w:widowControl/>
        <w:spacing w:line="276" w:lineRule="auto"/>
        <w:ind w:firstLine="420" w:firstLineChars="200"/>
        <w:jc w:val="left"/>
        <w:rPr>
          <w:rFonts w:ascii="宋体" w:hAnsi="宋体"/>
          <w:color w:val="auto"/>
          <w:szCs w:val="21"/>
        </w:rPr>
      </w:pPr>
      <w:r>
        <w:rPr>
          <w:rFonts w:hint="eastAsia" w:ascii="宋体" w:hAnsi="宋体"/>
          <w:color w:val="auto"/>
          <w:szCs w:val="21"/>
        </w:rPr>
        <w:t>4、及时向甲方提交审核报告和/或颁发认证证书，并通过全国认证认可公共服务平台、乙方公司网站公布和更新证书信息。</w:t>
      </w:r>
    </w:p>
    <w:p w14:paraId="56A3616F">
      <w:pPr>
        <w:widowControl/>
        <w:spacing w:line="276" w:lineRule="auto"/>
        <w:ind w:firstLine="420" w:firstLineChars="200"/>
        <w:jc w:val="left"/>
        <w:rPr>
          <w:rFonts w:hint="eastAsia" w:ascii="宋体" w:hAnsi="宋体"/>
          <w:color w:val="auto"/>
          <w:szCs w:val="21"/>
        </w:rPr>
      </w:pPr>
      <w:r>
        <w:rPr>
          <w:rFonts w:hint="eastAsia" w:ascii="宋体" w:hAnsi="宋体"/>
          <w:color w:val="auto"/>
          <w:szCs w:val="21"/>
        </w:rPr>
        <w:t>5、在证书有效期内，按合同规定每年对甲方管理体系运行的持续有效性和证书、标志使用的正确性进行监督审核工作。对获证组织体系运行情况进行有效监督，发现获证组织的存在暂停/撤消情形的应及时暂停或者撤销其认证证书。</w:t>
      </w:r>
    </w:p>
    <w:p w14:paraId="62E62B1F">
      <w:pPr>
        <w:widowControl/>
        <w:spacing w:line="276" w:lineRule="auto"/>
        <w:ind w:firstLine="420" w:firstLineChars="200"/>
        <w:jc w:val="left"/>
        <w:rPr>
          <w:rFonts w:hint="eastAsia" w:ascii="宋体" w:hAnsi="宋体"/>
          <w:color w:val="auto"/>
          <w:szCs w:val="21"/>
        </w:rPr>
      </w:pPr>
      <w:r>
        <w:rPr>
          <w:rFonts w:hint="eastAsia" w:ascii="宋体" w:hAnsi="宋体"/>
          <w:color w:val="auto"/>
          <w:szCs w:val="21"/>
          <w:lang w:val="en-US" w:eastAsia="zh-CN"/>
        </w:rPr>
        <w:t>6、</w:t>
      </w:r>
      <w:r>
        <w:rPr>
          <w:rFonts w:hint="eastAsia" w:ascii="宋体" w:hAnsi="宋体"/>
          <w:color w:val="auto"/>
          <w:szCs w:val="21"/>
        </w:rPr>
        <w:t>因甲方个人原因，在暂停期满3个月后仍未通过暂停恢复审核，则该证书将依据认证规则予以撤销。由此产生的一切市场利益损失等，均由甲方个人承担。</w:t>
      </w:r>
    </w:p>
    <w:p w14:paraId="54DDC826">
      <w:pPr>
        <w:widowControl/>
        <w:spacing w:line="276" w:lineRule="auto"/>
        <w:ind w:firstLine="420" w:firstLineChars="200"/>
        <w:jc w:val="left"/>
        <w:rPr>
          <w:rFonts w:ascii="宋体" w:hAnsi="宋体"/>
          <w:color w:val="auto"/>
          <w:szCs w:val="21"/>
        </w:rPr>
      </w:pPr>
      <w:r>
        <w:rPr>
          <w:rFonts w:hint="eastAsia" w:ascii="宋体" w:hAnsi="宋体"/>
          <w:color w:val="auto"/>
          <w:szCs w:val="21"/>
          <w:lang w:val="en-US" w:eastAsia="zh-CN"/>
        </w:rPr>
        <w:t>7</w:t>
      </w:r>
      <w:r>
        <w:rPr>
          <w:rFonts w:hint="eastAsia" w:ascii="宋体" w:hAnsi="宋体"/>
          <w:color w:val="auto"/>
          <w:szCs w:val="21"/>
        </w:rPr>
        <w:t>、及时告知甲方有关标准、认证审核过程、认证认可要求等变化信息。</w:t>
      </w:r>
    </w:p>
    <w:p w14:paraId="5B543810">
      <w:pPr>
        <w:widowControl/>
        <w:spacing w:line="276" w:lineRule="auto"/>
        <w:ind w:firstLine="420" w:firstLineChars="200"/>
        <w:jc w:val="left"/>
        <w:rPr>
          <w:rFonts w:ascii="宋体" w:hAnsi="宋体"/>
          <w:color w:val="auto"/>
          <w:szCs w:val="21"/>
        </w:rPr>
      </w:pPr>
      <w:r>
        <w:rPr>
          <w:rFonts w:hint="eastAsia" w:ascii="宋体" w:hAnsi="宋体"/>
          <w:color w:val="auto"/>
          <w:szCs w:val="21"/>
          <w:lang w:val="en-US" w:eastAsia="zh-CN"/>
        </w:rPr>
        <w:t>8</w:t>
      </w:r>
      <w:r>
        <w:rPr>
          <w:rFonts w:hint="eastAsia" w:ascii="宋体" w:hAnsi="宋体"/>
          <w:color w:val="auto"/>
          <w:szCs w:val="21"/>
        </w:rPr>
        <w:t>、如因甲方原因在现场审核结束后6个月内未能完成认证决定，则该审核失效，乙方需重新策划并实施一次现场审核，所发生的费用由甲方承担。</w:t>
      </w:r>
    </w:p>
    <w:p w14:paraId="48F7AAFC">
      <w:pPr>
        <w:widowControl/>
        <w:spacing w:line="276" w:lineRule="auto"/>
        <w:ind w:firstLine="420" w:firstLineChars="200"/>
        <w:jc w:val="left"/>
        <w:rPr>
          <w:rFonts w:ascii="宋体" w:hAnsi="宋体"/>
          <w:color w:val="auto"/>
          <w:szCs w:val="21"/>
        </w:rPr>
      </w:pPr>
      <w:r>
        <w:rPr>
          <w:rFonts w:hint="eastAsia" w:ascii="宋体" w:hAnsi="宋体"/>
          <w:color w:val="auto"/>
          <w:szCs w:val="21"/>
          <w:lang w:val="en-US" w:eastAsia="zh-CN"/>
        </w:rPr>
        <w:t>9</w:t>
      </w:r>
      <w:r>
        <w:rPr>
          <w:rFonts w:hint="eastAsia" w:ascii="宋体" w:hAnsi="宋体"/>
          <w:color w:val="auto"/>
          <w:szCs w:val="21"/>
        </w:rPr>
        <w:t>、由于甲方管理体系发生重大变更，或发生/质量/环境/职业健康安全/信息安全重大投诉时，乙方有权立即对甲方管理体系调查和实施审核。</w:t>
      </w:r>
    </w:p>
    <w:p w14:paraId="606751F9">
      <w:pPr>
        <w:widowControl/>
        <w:spacing w:line="276" w:lineRule="auto"/>
        <w:ind w:firstLine="420" w:firstLineChars="200"/>
        <w:rPr>
          <w:rFonts w:ascii="宋体" w:hAnsi="宋体"/>
          <w:color w:val="auto"/>
          <w:szCs w:val="21"/>
        </w:rPr>
      </w:pPr>
      <w:r>
        <w:rPr>
          <w:rFonts w:hint="eastAsia" w:ascii="宋体" w:hAnsi="宋体"/>
          <w:color w:val="auto"/>
          <w:szCs w:val="21"/>
          <w:lang w:val="en-US" w:eastAsia="zh-CN"/>
        </w:rPr>
        <w:t>10、</w:t>
      </w:r>
      <w:r>
        <w:rPr>
          <w:rFonts w:hint="eastAsia" w:ascii="宋体" w:hAnsi="宋体"/>
          <w:color w:val="auto"/>
          <w:szCs w:val="21"/>
        </w:rPr>
        <w:t>未经甲方书面许可，乙方不得将甲方经营、生产状况及技术信息以任何方式泄漏给第三方，但下列情况除外：</w:t>
      </w:r>
    </w:p>
    <w:p w14:paraId="76C0A1C8">
      <w:pPr>
        <w:widowControl/>
        <w:spacing w:line="276" w:lineRule="auto"/>
        <w:ind w:firstLine="420" w:firstLineChars="200"/>
        <w:rPr>
          <w:rFonts w:ascii="宋体" w:hAnsi="宋体"/>
          <w:color w:val="auto"/>
          <w:szCs w:val="21"/>
        </w:rPr>
      </w:pPr>
      <w:r>
        <w:rPr>
          <w:rFonts w:hint="eastAsia" w:ascii="宋体" w:hAnsi="宋体"/>
          <w:color w:val="auto"/>
          <w:szCs w:val="21"/>
        </w:rPr>
        <w:t>a)此合同签署前乙方得到的消息；</w:t>
      </w:r>
    </w:p>
    <w:p w14:paraId="570B7E2D">
      <w:pPr>
        <w:widowControl/>
        <w:spacing w:line="276" w:lineRule="auto"/>
        <w:ind w:firstLine="420" w:firstLineChars="200"/>
        <w:jc w:val="left"/>
        <w:rPr>
          <w:rFonts w:ascii="宋体" w:hAnsi="宋体"/>
          <w:color w:val="auto"/>
          <w:szCs w:val="21"/>
        </w:rPr>
      </w:pPr>
      <w:r>
        <w:rPr>
          <w:rFonts w:hint="eastAsia" w:ascii="宋体" w:hAnsi="宋体"/>
          <w:color w:val="auto"/>
          <w:szCs w:val="21"/>
        </w:rPr>
        <w:t>b)甲方已公开的信息或可通过公开渠道获取的信息；</w:t>
      </w:r>
    </w:p>
    <w:p w14:paraId="6EF45C63">
      <w:pPr>
        <w:widowControl/>
        <w:numPr>
          <w:ilvl w:val="255"/>
          <w:numId w:val="0"/>
        </w:numPr>
        <w:spacing w:line="276" w:lineRule="auto"/>
        <w:ind w:firstLine="420" w:firstLineChars="200"/>
        <w:jc w:val="left"/>
        <w:rPr>
          <w:rFonts w:ascii="宋体" w:hAnsi="宋体"/>
          <w:color w:val="auto"/>
          <w:szCs w:val="21"/>
        </w:rPr>
      </w:pPr>
      <w:r>
        <w:rPr>
          <w:rFonts w:hint="eastAsia" w:ascii="宋体" w:hAnsi="宋体"/>
          <w:color w:val="auto"/>
          <w:szCs w:val="21"/>
        </w:rPr>
        <w:t>c)国家法律、法规及行政司法部门有要求时</w:t>
      </w:r>
    </w:p>
    <w:p w14:paraId="2F892C37">
      <w:pPr>
        <w:pStyle w:val="5"/>
        <w:spacing w:before="156" w:beforeLines="50" w:line="276" w:lineRule="auto"/>
        <w:rPr>
          <w:rFonts w:hAnsi="宋体"/>
          <w:b/>
          <w:bCs/>
          <w:color w:val="auto"/>
        </w:rPr>
      </w:pPr>
      <w:r>
        <w:rPr>
          <w:rFonts w:hint="eastAsia" w:hAnsi="宋体"/>
          <w:b/>
          <w:bCs/>
          <w:color w:val="auto"/>
        </w:rPr>
        <w:t>五、合同生效、变更和终止</w:t>
      </w:r>
    </w:p>
    <w:p w14:paraId="3C720356">
      <w:pPr>
        <w:widowControl/>
        <w:spacing w:line="276" w:lineRule="auto"/>
        <w:ind w:firstLine="420" w:firstLineChars="200"/>
        <w:jc w:val="left"/>
        <w:rPr>
          <w:rFonts w:ascii="宋体" w:hAnsi="宋体"/>
          <w:color w:val="auto"/>
          <w:szCs w:val="21"/>
        </w:rPr>
      </w:pPr>
      <w:r>
        <w:rPr>
          <w:rFonts w:hint="eastAsia" w:ascii="宋体" w:hAnsi="宋体"/>
          <w:color w:val="auto"/>
          <w:szCs w:val="21"/>
        </w:rPr>
        <w:t>1、本合同一式两份，自甲乙双方授权代表签字并加盖公章完成签署之日起生效，甲乙双方各执一份。</w:t>
      </w:r>
    </w:p>
    <w:p w14:paraId="7CF6CD69">
      <w:pPr>
        <w:widowControl/>
        <w:spacing w:line="276" w:lineRule="auto"/>
        <w:ind w:firstLine="420" w:firstLineChars="200"/>
        <w:jc w:val="left"/>
        <w:rPr>
          <w:rFonts w:ascii="宋体" w:hAnsi="宋体"/>
          <w:color w:val="auto"/>
          <w:szCs w:val="21"/>
        </w:rPr>
      </w:pPr>
      <w:r>
        <w:rPr>
          <w:rFonts w:hint="eastAsia" w:ascii="宋体" w:hAnsi="宋体"/>
          <w:color w:val="auto"/>
          <w:szCs w:val="21"/>
        </w:rPr>
        <w:t>2、本合同有效期为三年。在合同有效期内，因合同一方提出变更合同条款时，经双方协商一致，应签署《合同变更协议》作为本合同的附件。《合同变更协议》生效后，本合同中与其相抵触的条款失效。</w:t>
      </w:r>
    </w:p>
    <w:p w14:paraId="233326D0">
      <w:pPr>
        <w:widowControl/>
        <w:spacing w:line="276" w:lineRule="auto"/>
        <w:ind w:firstLine="420" w:firstLineChars="200"/>
        <w:jc w:val="left"/>
        <w:rPr>
          <w:rFonts w:ascii="宋体" w:hAnsi="宋体"/>
          <w:color w:val="auto"/>
          <w:szCs w:val="21"/>
        </w:rPr>
      </w:pPr>
      <w:r>
        <w:rPr>
          <w:rFonts w:hint="eastAsia" w:ascii="宋体" w:hAnsi="宋体"/>
          <w:color w:val="auto"/>
          <w:szCs w:val="21"/>
        </w:rPr>
        <w:t>3、在合同到期前，若任何一方希望终止本合同，应提前30日书面通知对方。经双方协商一致后，方可终止合同。</w:t>
      </w:r>
    </w:p>
    <w:p w14:paraId="7C64C22A">
      <w:pPr>
        <w:widowControl/>
        <w:spacing w:line="276" w:lineRule="auto"/>
        <w:ind w:firstLine="420" w:firstLineChars="200"/>
        <w:jc w:val="left"/>
        <w:rPr>
          <w:rFonts w:ascii="宋体" w:hAnsi="宋体"/>
          <w:color w:val="auto"/>
          <w:szCs w:val="21"/>
        </w:rPr>
      </w:pPr>
      <w:r>
        <w:rPr>
          <w:rFonts w:hint="eastAsia" w:ascii="宋体" w:hAnsi="宋体"/>
          <w:color w:val="auto"/>
          <w:szCs w:val="21"/>
        </w:rPr>
        <w:t>4、下列情况下，合同自然终止：</w:t>
      </w:r>
    </w:p>
    <w:p w14:paraId="4079C5D6">
      <w:pPr>
        <w:widowControl/>
        <w:spacing w:line="276" w:lineRule="auto"/>
        <w:ind w:firstLine="420" w:firstLineChars="200"/>
        <w:rPr>
          <w:rFonts w:ascii="宋体" w:hAnsi="宋体"/>
          <w:color w:val="auto"/>
          <w:szCs w:val="21"/>
        </w:rPr>
      </w:pPr>
      <w:r>
        <w:rPr>
          <w:rFonts w:hint="eastAsia" w:ascii="宋体" w:hAnsi="宋体"/>
          <w:color w:val="auto"/>
          <w:szCs w:val="21"/>
        </w:rPr>
        <w:t>a) 认证结论为不合格，认证费用已结清；</w:t>
      </w:r>
    </w:p>
    <w:p w14:paraId="1AA770E5">
      <w:pPr>
        <w:widowControl/>
        <w:spacing w:line="276" w:lineRule="auto"/>
        <w:ind w:firstLine="420" w:firstLineChars="200"/>
        <w:rPr>
          <w:rFonts w:ascii="宋体" w:hAnsi="宋体"/>
          <w:color w:val="auto"/>
          <w:szCs w:val="21"/>
        </w:rPr>
      </w:pPr>
      <w:r>
        <w:rPr>
          <w:rFonts w:hint="eastAsia" w:ascii="宋体" w:hAnsi="宋体"/>
          <w:color w:val="auto"/>
          <w:szCs w:val="21"/>
        </w:rPr>
        <w:t>b) 认证证书有效期满三年时，双方未续约；</w:t>
      </w:r>
    </w:p>
    <w:p w14:paraId="24A2C5FA">
      <w:pPr>
        <w:widowControl/>
        <w:spacing w:line="276" w:lineRule="auto"/>
        <w:ind w:firstLine="420" w:firstLineChars="200"/>
        <w:rPr>
          <w:rFonts w:ascii="宋体" w:hAnsi="宋体"/>
          <w:color w:val="auto"/>
          <w:szCs w:val="21"/>
        </w:rPr>
      </w:pPr>
      <w:r>
        <w:rPr>
          <w:rFonts w:hint="eastAsia" w:ascii="宋体" w:hAnsi="宋体"/>
          <w:color w:val="auto"/>
          <w:szCs w:val="21"/>
        </w:rPr>
        <w:t>c) 因甲方或乙方不可抗力原因导致合同无法执行。不可抗力包括但不限于战争、天灾、火灾、爆炸、劳工争议、国家政策或法规调整等。</w:t>
      </w:r>
    </w:p>
    <w:p w14:paraId="1391D7EC">
      <w:pPr>
        <w:spacing w:line="276" w:lineRule="auto"/>
        <w:rPr>
          <w:rFonts w:ascii="宋体" w:hAnsi="宋体" w:cs="Arial"/>
          <w:b/>
          <w:color w:val="auto"/>
          <w:szCs w:val="21"/>
        </w:rPr>
      </w:pPr>
      <w:r>
        <w:rPr>
          <w:rFonts w:hint="eastAsia" w:ascii="宋体" w:hAnsi="宋体" w:cs="Arial"/>
          <w:b/>
          <w:color w:val="auto"/>
          <w:szCs w:val="21"/>
        </w:rPr>
        <w:t>六、合同争议的处理</w:t>
      </w:r>
    </w:p>
    <w:p w14:paraId="5D1532E1">
      <w:pPr>
        <w:widowControl/>
        <w:spacing w:line="276" w:lineRule="auto"/>
        <w:ind w:firstLine="420" w:firstLineChars="200"/>
        <w:jc w:val="left"/>
        <w:rPr>
          <w:rFonts w:ascii="宋体" w:hAnsi="宋体"/>
          <w:color w:val="auto"/>
          <w:szCs w:val="21"/>
        </w:rPr>
      </w:pPr>
      <w:r>
        <w:rPr>
          <w:rFonts w:hint="eastAsia" w:ascii="宋体" w:hAnsi="宋体"/>
          <w:color w:val="auto"/>
          <w:szCs w:val="21"/>
        </w:rPr>
        <w:t>1、甲方对乙方的审核有异议，可向乙方提出申诉／投诉，也可向所在地认证监管部门或国家认监委提出申诉／投诉；乙方按公司申诉/投诉及争议处理的规定进行处理。</w:t>
      </w:r>
    </w:p>
    <w:p w14:paraId="114DB9C8">
      <w:pPr>
        <w:widowControl/>
        <w:spacing w:line="276" w:lineRule="auto"/>
        <w:ind w:firstLine="420" w:firstLineChars="200"/>
        <w:jc w:val="left"/>
        <w:rPr>
          <w:rFonts w:ascii="宋体" w:hAnsi="宋体"/>
          <w:color w:val="auto"/>
          <w:szCs w:val="21"/>
        </w:rPr>
      </w:pPr>
      <w:r>
        <w:rPr>
          <w:rFonts w:hint="eastAsia" w:ascii="宋体" w:hAnsi="宋体"/>
          <w:color w:val="auto"/>
          <w:szCs w:val="21"/>
        </w:rPr>
        <w:t>2、在合同履行过程中发生争议，双方应当协商解决，如达不成协议，可以申请仲裁委员会仲裁或司法程序解决。</w:t>
      </w:r>
    </w:p>
    <w:p w14:paraId="6DDCF18A">
      <w:pPr>
        <w:widowControl/>
        <w:spacing w:line="276" w:lineRule="auto"/>
        <w:ind w:firstLine="420" w:firstLineChars="200"/>
        <w:jc w:val="left"/>
        <w:rPr>
          <w:rFonts w:ascii="宋体" w:hAnsi="宋体"/>
          <w:color w:val="auto"/>
          <w:szCs w:val="21"/>
        </w:rPr>
      </w:pPr>
      <w:r>
        <w:rPr>
          <w:rFonts w:hint="eastAsia" w:ascii="宋体" w:hAnsi="宋体"/>
          <w:color w:val="auto"/>
          <w:szCs w:val="21"/>
        </w:rPr>
        <w:t>3、在乙方所在地按司法程序解决。</w:t>
      </w:r>
    </w:p>
    <w:p w14:paraId="502B2AB3">
      <w:pPr>
        <w:spacing w:line="276" w:lineRule="auto"/>
        <w:rPr>
          <w:rFonts w:ascii="宋体" w:hAnsi="宋体" w:cs="Arial"/>
          <w:b/>
          <w:color w:val="auto"/>
          <w:szCs w:val="21"/>
        </w:rPr>
      </w:pPr>
      <w:r>
        <w:rPr>
          <w:rFonts w:hint="eastAsia" w:ascii="宋体" w:hAnsi="宋体" w:cs="Arial"/>
          <w:b/>
          <w:color w:val="auto"/>
          <w:szCs w:val="21"/>
        </w:rPr>
        <w:t>七、 违约责任</w:t>
      </w:r>
    </w:p>
    <w:p w14:paraId="231200B4">
      <w:pPr>
        <w:widowControl/>
        <w:spacing w:line="276" w:lineRule="auto"/>
        <w:ind w:firstLine="420" w:firstLineChars="200"/>
        <w:jc w:val="left"/>
        <w:rPr>
          <w:rFonts w:ascii="宋体" w:hAnsi="宋体"/>
          <w:color w:val="auto"/>
          <w:szCs w:val="21"/>
        </w:rPr>
      </w:pPr>
      <w:r>
        <w:rPr>
          <w:rFonts w:hint="eastAsia" w:ascii="宋体" w:hAnsi="宋体"/>
          <w:color w:val="auto"/>
          <w:szCs w:val="21"/>
        </w:rPr>
        <w:t>当甲乙双方中一方不能按合同约定履行时，双方应协商解决。由于违约而终止合同所产生的经济损失和法律责任由责任方承担。如因乙方批准资质注销或被撤销导致甲方认证证书无法有效保持时，乙方应及时通知甲方并做出妥善处理</w:t>
      </w:r>
      <w:r>
        <w:rPr>
          <w:rFonts w:hint="eastAsia" w:ascii="宋体" w:hAnsi="宋体"/>
          <w:color w:val="auto"/>
          <w:szCs w:val="21"/>
          <w:lang w:eastAsia="zh-CN"/>
        </w:rPr>
        <w:t>，</w:t>
      </w:r>
      <w:r>
        <w:rPr>
          <w:rFonts w:hint="eastAsia" w:ascii="宋体" w:hAnsi="宋体"/>
          <w:color w:val="auto"/>
          <w:szCs w:val="21"/>
          <w:lang w:val="en-US" w:eastAsia="zh-CN"/>
        </w:rPr>
        <w:t>赔偿额不超过合同初次审核金额</w:t>
      </w:r>
      <w:r>
        <w:rPr>
          <w:rFonts w:hint="eastAsia" w:ascii="宋体" w:hAnsi="宋体"/>
          <w:color w:val="auto"/>
          <w:szCs w:val="21"/>
        </w:rPr>
        <w:t>。</w:t>
      </w:r>
    </w:p>
    <w:p w14:paraId="04B1AD8B">
      <w:pPr>
        <w:widowControl/>
        <w:spacing w:line="276" w:lineRule="auto"/>
        <w:ind w:firstLine="420" w:firstLineChars="200"/>
        <w:jc w:val="left"/>
        <w:rPr>
          <w:rFonts w:ascii="宋体" w:hAnsi="宋体"/>
          <w:color w:val="auto"/>
          <w:szCs w:val="21"/>
        </w:rPr>
      </w:pPr>
      <w:r>
        <w:rPr>
          <w:rFonts w:hint="eastAsia" w:ascii="宋体" w:hAnsi="宋体"/>
          <w:color w:val="auto"/>
          <w:szCs w:val="21"/>
        </w:rPr>
        <w:t>双方因不可抗力造成的合同违约，受到影响的一方应及时书面通知另一方，免除赔偿责任。“不可抗力”见第五条第4款3描述。</w:t>
      </w:r>
    </w:p>
    <w:p w14:paraId="2F5B7128">
      <w:pPr>
        <w:spacing w:before="156" w:beforeLines="50" w:line="276" w:lineRule="auto"/>
        <w:rPr>
          <w:rFonts w:ascii="宋体" w:hAnsi="宋体" w:cs="Arial"/>
          <w:b/>
          <w:color w:val="auto"/>
          <w:szCs w:val="21"/>
        </w:rPr>
      </w:pPr>
      <w:r>
        <w:rPr>
          <w:rFonts w:hint="eastAsia" w:ascii="宋体" w:hAnsi="宋体" w:cs="Arial"/>
          <w:b/>
          <w:color w:val="auto"/>
          <w:szCs w:val="21"/>
        </w:rPr>
        <w:t>八、其他事宜</w:t>
      </w:r>
    </w:p>
    <w:p w14:paraId="6210E631">
      <w:pPr>
        <w:widowControl/>
        <w:spacing w:before="156" w:beforeLines="50" w:line="276" w:lineRule="auto"/>
        <w:ind w:firstLine="420" w:firstLineChars="200"/>
        <w:jc w:val="left"/>
        <w:rPr>
          <w:rFonts w:ascii="宋体" w:hAnsi="宋体"/>
          <w:color w:val="auto"/>
          <w:szCs w:val="21"/>
        </w:rPr>
      </w:pPr>
      <w:r>
        <w:rPr>
          <w:rFonts w:hint="eastAsia" w:ascii="宋体" w:hAnsi="宋体"/>
          <w:color w:val="auto"/>
          <w:szCs w:val="21"/>
        </w:rPr>
        <w:t>乙方向下述甲方联系人（含电子邮箱</w:t>
      </w:r>
      <w:r>
        <w:rPr>
          <w:rFonts w:hint="eastAsia" w:ascii="宋体" w:hAnsi="宋体"/>
          <w:color w:val="auto"/>
          <w:szCs w:val="21"/>
          <w:lang w:eastAsia="zh-CN"/>
        </w:rPr>
        <w:t>、</w:t>
      </w:r>
      <w:r>
        <w:rPr>
          <w:rFonts w:hint="eastAsia" w:ascii="宋体" w:hAnsi="宋体"/>
          <w:color w:val="auto"/>
          <w:szCs w:val="21"/>
          <w:lang w:val="en-US" w:eastAsia="zh-CN"/>
        </w:rPr>
        <w:t>短信、微信等</w:t>
      </w:r>
      <w:r>
        <w:rPr>
          <w:rFonts w:hint="eastAsia" w:ascii="宋体" w:hAnsi="宋体"/>
          <w:color w:val="auto"/>
          <w:szCs w:val="21"/>
        </w:rPr>
        <w:t>）送达的任何书面文件或通知，均视为已有效送达，该联系人的回复视为甲方的真实意思表达。甲方如变更上述联系人，须提前10个工作日通知乙方，并附加盖公章的授权委托书。如因甲方未对本协议确定的联系地址、联系方式、指定联系人及其联系方式进行及时通知，导致乙方有关文件无法有效送达的，甲方不得对因此导致的任何不利或损失向乙方主张权利。</w:t>
      </w:r>
    </w:p>
    <w:p w14:paraId="08575444">
      <w:pPr>
        <w:widowControl/>
        <w:spacing w:line="276" w:lineRule="auto"/>
        <w:ind w:firstLine="420" w:firstLineChars="200"/>
        <w:jc w:val="left"/>
        <w:rPr>
          <w:rFonts w:ascii="宋体" w:hAnsi="宋体"/>
          <w:color w:val="auto"/>
          <w:szCs w:val="21"/>
        </w:rPr>
      </w:pPr>
    </w:p>
    <w:p w14:paraId="194860B0">
      <w:pPr>
        <w:tabs>
          <w:tab w:val="left" w:pos="426"/>
          <w:tab w:val="left" w:pos="1260"/>
        </w:tabs>
        <w:spacing w:line="276" w:lineRule="auto"/>
        <w:jc w:val="left"/>
        <w:rPr>
          <w:rFonts w:ascii="宋体" w:hAnsi="宋体"/>
          <w:bCs/>
          <w:color w:val="auto"/>
          <w:szCs w:val="21"/>
        </w:rPr>
      </w:pPr>
    </w:p>
    <w:tbl>
      <w:tblPr>
        <w:tblStyle w:val="13"/>
        <w:tblW w:w="10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01"/>
        <w:gridCol w:w="3402"/>
        <w:gridCol w:w="1701"/>
        <w:gridCol w:w="3402"/>
      </w:tblGrid>
      <w:tr w14:paraId="27380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center"/>
          </w:tcPr>
          <w:p w14:paraId="08B20B52">
            <w:pPr>
              <w:tabs>
                <w:tab w:val="left" w:pos="4253"/>
              </w:tabs>
              <w:spacing w:line="276" w:lineRule="auto"/>
              <w:jc w:val="right"/>
              <w:rPr>
                <w:rFonts w:ascii="宋体" w:hAnsi="宋体"/>
                <w:color w:val="auto"/>
                <w:szCs w:val="21"/>
              </w:rPr>
            </w:pPr>
            <w:permStart w:id="47" w:edGrp="everyone" w:colFirst="1" w:colLast="1"/>
            <w:r>
              <w:rPr>
                <w:rFonts w:hint="eastAsia" w:ascii="宋体" w:hAnsi="宋体"/>
                <w:color w:val="auto"/>
                <w:szCs w:val="21"/>
              </w:rPr>
              <w:t>地址：</w:t>
            </w:r>
          </w:p>
        </w:tc>
        <w:tc>
          <w:tcPr>
            <w:tcW w:w="3402" w:type="dxa"/>
            <w:tcBorders>
              <w:bottom w:val="single" w:color="auto" w:sz="4" w:space="0"/>
            </w:tcBorders>
            <w:vAlign w:val="bottom"/>
          </w:tcPr>
          <w:p w14:paraId="3168F1ED">
            <w:pPr>
              <w:tabs>
                <w:tab w:val="left" w:pos="4253"/>
              </w:tabs>
              <w:snapToGrid w:val="0"/>
              <w:spacing w:line="276" w:lineRule="auto"/>
              <w:rPr>
                <w:rFonts w:ascii="宋体" w:hAnsi="宋体"/>
                <w:color w:val="auto"/>
                <w:szCs w:val="21"/>
              </w:rPr>
            </w:pPr>
          </w:p>
        </w:tc>
        <w:tc>
          <w:tcPr>
            <w:tcW w:w="1701" w:type="dxa"/>
            <w:vAlign w:val="center"/>
          </w:tcPr>
          <w:p w14:paraId="2215E039">
            <w:pPr>
              <w:tabs>
                <w:tab w:val="left" w:pos="4253"/>
              </w:tabs>
              <w:spacing w:line="276" w:lineRule="auto"/>
              <w:jc w:val="right"/>
              <w:rPr>
                <w:rFonts w:ascii="宋体" w:hAnsi="宋体"/>
                <w:color w:val="auto"/>
                <w:szCs w:val="21"/>
              </w:rPr>
            </w:pPr>
            <w:r>
              <w:rPr>
                <w:rFonts w:hint="eastAsia" w:ascii="宋体" w:hAnsi="宋体"/>
                <w:color w:val="auto"/>
                <w:szCs w:val="21"/>
              </w:rPr>
              <w:t>地址：</w:t>
            </w:r>
          </w:p>
        </w:tc>
        <w:tc>
          <w:tcPr>
            <w:tcW w:w="3402" w:type="dxa"/>
            <w:vAlign w:val="center"/>
          </w:tcPr>
          <w:p w14:paraId="3C47BD5A">
            <w:pPr>
              <w:spacing w:line="276" w:lineRule="auto"/>
              <w:rPr>
                <w:rFonts w:ascii="宋体" w:hAnsi="宋体"/>
                <w:color w:val="auto"/>
                <w:szCs w:val="21"/>
                <w:u w:val="single"/>
              </w:rPr>
            </w:pPr>
            <w:r>
              <w:rPr>
                <w:rFonts w:hint="eastAsia" w:ascii="宋体" w:hAnsi="宋体" w:eastAsia="宋体"/>
                <w:color w:val="auto"/>
                <w:szCs w:val="21"/>
                <w:u w:val="single"/>
              </w:rPr>
              <w:t>北京市西城区万博苑7号楼</w:t>
            </w:r>
            <w:r>
              <w:rPr>
                <w:rFonts w:hint="eastAsia" w:ascii="宋体" w:hAnsi="宋体" w:eastAsia="宋体"/>
                <w:color w:val="auto"/>
                <w:szCs w:val="21"/>
                <w:u w:val="single"/>
                <w:lang w:val="en-US" w:eastAsia="zh-CN"/>
              </w:rPr>
              <w:t>9</w:t>
            </w:r>
            <w:r>
              <w:rPr>
                <w:rFonts w:hint="eastAsia" w:ascii="宋体" w:hAnsi="宋体" w:eastAsia="宋体"/>
                <w:color w:val="auto"/>
                <w:szCs w:val="21"/>
                <w:u w:val="single"/>
              </w:rPr>
              <w:t>层</w:t>
            </w:r>
            <w:r>
              <w:rPr>
                <w:rFonts w:hint="eastAsia" w:ascii="宋体" w:hAnsi="宋体" w:eastAsia="宋体"/>
                <w:color w:val="auto"/>
                <w:szCs w:val="21"/>
                <w:u w:val="single"/>
                <w:lang w:val="en-US" w:eastAsia="zh-CN"/>
              </w:rPr>
              <w:t>910室</w:t>
            </w:r>
          </w:p>
        </w:tc>
      </w:tr>
      <w:permEnd w:id="47"/>
      <w:tr w14:paraId="637AE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2C55854B">
            <w:pPr>
              <w:tabs>
                <w:tab w:val="left" w:pos="4253"/>
              </w:tabs>
              <w:spacing w:line="276" w:lineRule="auto"/>
              <w:jc w:val="right"/>
              <w:rPr>
                <w:rFonts w:ascii="宋体" w:hAnsi="宋体"/>
                <w:color w:val="auto"/>
                <w:szCs w:val="21"/>
              </w:rPr>
            </w:pPr>
            <w:permStart w:id="48" w:edGrp="everyone" w:colFirst="1" w:colLast="1"/>
            <w:r>
              <w:rPr>
                <w:rFonts w:hint="eastAsia" w:ascii="宋体" w:hAnsi="宋体"/>
                <w:color w:val="auto"/>
                <w:szCs w:val="21"/>
              </w:rPr>
              <w:t>邮编：</w:t>
            </w:r>
          </w:p>
        </w:tc>
        <w:tc>
          <w:tcPr>
            <w:tcW w:w="3402" w:type="dxa"/>
            <w:tcBorders>
              <w:top w:val="single" w:color="auto" w:sz="4" w:space="0"/>
              <w:bottom w:val="single" w:color="auto" w:sz="4" w:space="0"/>
            </w:tcBorders>
            <w:vAlign w:val="bottom"/>
          </w:tcPr>
          <w:p w14:paraId="67E75EDE">
            <w:pPr>
              <w:tabs>
                <w:tab w:val="left" w:pos="4253"/>
              </w:tabs>
              <w:snapToGrid w:val="0"/>
              <w:spacing w:line="276" w:lineRule="auto"/>
              <w:rPr>
                <w:rFonts w:ascii="宋体" w:hAnsi="宋体"/>
                <w:color w:val="auto"/>
                <w:szCs w:val="21"/>
              </w:rPr>
            </w:pPr>
          </w:p>
        </w:tc>
        <w:tc>
          <w:tcPr>
            <w:tcW w:w="1701" w:type="dxa"/>
            <w:vAlign w:val="bottom"/>
          </w:tcPr>
          <w:p w14:paraId="322F5593">
            <w:pPr>
              <w:tabs>
                <w:tab w:val="left" w:pos="4253"/>
              </w:tabs>
              <w:spacing w:line="276" w:lineRule="auto"/>
              <w:jc w:val="right"/>
              <w:rPr>
                <w:rFonts w:ascii="宋体" w:hAnsi="宋体"/>
                <w:color w:val="auto"/>
                <w:szCs w:val="21"/>
              </w:rPr>
            </w:pPr>
            <w:r>
              <w:rPr>
                <w:rFonts w:hint="eastAsia" w:ascii="宋体" w:hAnsi="宋体"/>
                <w:color w:val="auto"/>
                <w:szCs w:val="21"/>
              </w:rPr>
              <w:t>邮编：</w:t>
            </w:r>
          </w:p>
        </w:tc>
        <w:tc>
          <w:tcPr>
            <w:tcW w:w="3402" w:type="dxa"/>
            <w:tcBorders>
              <w:bottom w:val="single" w:color="auto" w:sz="4" w:space="0"/>
            </w:tcBorders>
            <w:vAlign w:val="bottom"/>
          </w:tcPr>
          <w:p w14:paraId="5CF2A398">
            <w:pPr>
              <w:tabs>
                <w:tab w:val="left" w:pos="4253"/>
              </w:tabs>
              <w:snapToGrid w:val="0"/>
              <w:spacing w:line="276" w:lineRule="auto"/>
              <w:rPr>
                <w:rFonts w:hint="eastAsia" w:ascii="宋体" w:hAnsi="宋体" w:eastAsia="宋体"/>
                <w:color w:val="auto"/>
                <w:szCs w:val="21"/>
                <w:lang w:val="en-US" w:eastAsia="zh-CN"/>
              </w:rPr>
            </w:pPr>
            <w:r>
              <w:rPr>
                <w:rFonts w:hint="eastAsia" w:ascii="宋体" w:hAnsi="宋体"/>
                <w:color w:val="auto"/>
                <w:szCs w:val="21"/>
              </w:rPr>
              <w:t>10005</w:t>
            </w:r>
            <w:r>
              <w:rPr>
                <w:rFonts w:hint="eastAsia" w:ascii="宋体" w:hAnsi="宋体"/>
                <w:color w:val="auto"/>
                <w:szCs w:val="21"/>
                <w:lang w:val="en-US" w:eastAsia="zh-CN"/>
              </w:rPr>
              <w:t>4</w:t>
            </w:r>
          </w:p>
        </w:tc>
      </w:tr>
      <w:permEnd w:id="48"/>
      <w:tr w14:paraId="19AFC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7D99A845">
            <w:pPr>
              <w:tabs>
                <w:tab w:val="left" w:pos="4253"/>
              </w:tabs>
              <w:spacing w:line="276" w:lineRule="auto"/>
              <w:jc w:val="right"/>
              <w:rPr>
                <w:rFonts w:ascii="宋体" w:hAnsi="宋体"/>
                <w:color w:val="auto"/>
                <w:szCs w:val="21"/>
              </w:rPr>
            </w:pPr>
            <w:permStart w:id="49" w:edGrp="everyone" w:colFirst="1" w:colLast="1"/>
            <w:r>
              <w:rPr>
                <w:rFonts w:hint="eastAsia" w:ascii="宋体" w:hAnsi="宋体"/>
                <w:color w:val="auto"/>
                <w:szCs w:val="21"/>
              </w:rPr>
              <w:t>联系人：</w:t>
            </w:r>
          </w:p>
        </w:tc>
        <w:tc>
          <w:tcPr>
            <w:tcW w:w="3402" w:type="dxa"/>
            <w:tcBorders>
              <w:top w:val="single" w:color="auto" w:sz="4" w:space="0"/>
              <w:bottom w:val="single" w:color="auto" w:sz="4" w:space="0"/>
            </w:tcBorders>
            <w:vAlign w:val="bottom"/>
          </w:tcPr>
          <w:p w14:paraId="0AD953E2">
            <w:pPr>
              <w:tabs>
                <w:tab w:val="left" w:pos="4253"/>
              </w:tabs>
              <w:snapToGrid w:val="0"/>
              <w:spacing w:line="276" w:lineRule="auto"/>
              <w:rPr>
                <w:rFonts w:ascii="宋体" w:hAnsi="宋体"/>
                <w:color w:val="auto"/>
                <w:szCs w:val="21"/>
              </w:rPr>
            </w:pPr>
          </w:p>
        </w:tc>
        <w:tc>
          <w:tcPr>
            <w:tcW w:w="1701" w:type="dxa"/>
            <w:vAlign w:val="bottom"/>
          </w:tcPr>
          <w:p w14:paraId="4E73BF78">
            <w:pPr>
              <w:tabs>
                <w:tab w:val="left" w:pos="4253"/>
              </w:tabs>
              <w:spacing w:line="276" w:lineRule="auto"/>
              <w:jc w:val="right"/>
              <w:rPr>
                <w:rFonts w:ascii="宋体" w:hAnsi="宋体"/>
                <w:color w:val="auto"/>
                <w:szCs w:val="21"/>
              </w:rPr>
            </w:pPr>
            <w:r>
              <w:rPr>
                <w:rFonts w:hint="eastAsia" w:ascii="宋体" w:hAnsi="宋体"/>
                <w:color w:val="auto"/>
                <w:szCs w:val="21"/>
              </w:rPr>
              <w:t>联系人：</w:t>
            </w:r>
          </w:p>
        </w:tc>
        <w:tc>
          <w:tcPr>
            <w:tcW w:w="3402" w:type="dxa"/>
            <w:tcBorders>
              <w:top w:val="single" w:color="auto" w:sz="4" w:space="0"/>
              <w:bottom w:val="single" w:color="auto" w:sz="4" w:space="0"/>
            </w:tcBorders>
            <w:vAlign w:val="bottom"/>
          </w:tcPr>
          <w:p w14:paraId="49854B8A">
            <w:pPr>
              <w:tabs>
                <w:tab w:val="left" w:pos="4253"/>
              </w:tabs>
              <w:snapToGrid w:val="0"/>
              <w:spacing w:line="276" w:lineRule="auto"/>
              <w:rPr>
                <w:rFonts w:ascii="宋体" w:hAnsi="宋体"/>
                <w:color w:val="auto"/>
                <w:szCs w:val="21"/>
              </w:rPr>
            </w:pPr>
          </w:p>
        </w:tc>
      </w:tr>
      <w:permEnd w:id="49"/>
      <w:tr w14:paraId="77062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080C4926">
            <w:pPr>
              <w:tabs>
                <w:tab w:val="left" w:pos="4253"/>
              </w:tabs>
              <w:spacing w:line="276" w:lineRule="auto"/>
              <w:jc w:val="right"/>
              <w:rPr>
                <w:rFonts w:ascii="宋体" w:hAnsi="宋体"/>
                <w:color w:val="auto"/>
                <w:szCs w:val="21"/>
              </w:rPr>
            </w:pPr>
            <w:permStart w:id="50" w:edGrp="everyone" w:colFirst="1" w:colLast="1"/>
            <w:r>
              <w:rPr>
                <w:rFonts w:hint="eastAsia" w:ascii="宋体" w:hAnsi="宋体"/>
                <w:color w:val="auto"/>
                <w:szCs w:val="21"/>
              </w:rPr>
              <w:t>电话：</w:t>
            </w:r>
          </w:p>
        </w:tc>
        <w:tc>
          <w:tcPr>
            <w:tcW w:w="3402" w:type="dxa"/>
            <w:tcBorders>
              <w:top w:val="single" w:color="auto" w:sz="4" w:space="0"/>
              <w:bottom w:val="single" w:color="auto" w:sz="4" w:space="0"/>
            </w:tcBorders>
            <w:vAlign w:val="bottom"/>
          </w:tcPr>
          <w:p w14:paraId="5A5EF179">
            <w:pPr>
              <w:tabs>
                <w:tab w:val="left" w:pos="4253"/>
              </w:tabs>
              <w:snapToGrid w:val="0"/>
              <w:spacing w:line="276" w:lineRule="auto"/>
              <w:rPr>
                <w:rFonts w:ascii="宋体" w:hAnsi="宋体"/>
                <w:color w:val="auto"/>
                <w:szCs w:val="21"/>
              </w:rPr>
            </w:pPr>
          </w:p>
        </w:tc>
        <w:tc>
          <w:tcPr>
            <w:tcW w:w="1701" w:type="dxa"/>
            <w:vAlign w:val="bottom"/>
          </w:tcPr>
          <w:p w14:paraId="0762916B">
            <w:pPr>
              <w:tabs>
                <w:tab w:val="left" w:pos="4253"/>
              </w:tabs>
              <w:spacing w:line="276" w:lineRule="auto"/>
              <w:jc w:val="right"/>
              <w:rPr>
                <w:rFonts w:ascii="宋体" w:hAnsi="宋体"/>
                <w:color w:val="auto"/>
                <w:szCs w:val="21"/>
              </w:rPr>
            </w:pPr>
            <w:r>
              <w:rPr>
                <w:rFonts w:hint="eastAsia" w:ascii="宋体" w:hAnsi="宋体"/>
                <w:color w:val="auto"/>
                <w:szCs w:val="21"/>
              </w:rPr>
              <w:t>电话：</w:t>
            </w:r>
          </w:p>
        </w:tc>
        <w:tc>
          <w:tcPr>
            <w:tcW w:w="3402" w:type="dxa"/>
            <w:tcBorders>
              <w:top w:val="single" w:color="auto" w:sz="4" w:space="0"/>
              <w:bottom w:val="single" w:color="auto" w:sz="4" w:space="0"/>
            </w:tcBorders>
            <w:vAlign w:val="bottom"/>
          </w:tcPr>
          <w:p w14:paraId="6B715CE8">
            <w:pPr>
              <w:tabs>
                <w:tab w:val="left" w:pos="4253"/>
              </w:tabs>
              <w:snapToGrid w:val="0"/>
              <w:spacing w:line="276" w:lineRule="auto"/>
              <w:rPr>
                <w:rFonts w:ascii="宋体" w:hAnsi="宋体"/>
                <w:color w:val="auto"/>
                <w:szCs w:val="21"/>
              </w:rPr>
            </w:pPr>
            <w:r>
              <w:rPr>
                <w:rFonts w:hint="eastAsia" w:ascii="宋体" w:hAnsi="宋体" w:eastAsia="宋体"/>
                <w:color w:val="auto"/>
                <w:szCs w:val="21"/>
              </w:rPr>
              <w:t>010-</w:t>
            </w:r>
            <w:r>
              <w:rPr>
                <w:rFonts w:ascii="宋体" w:hAnsi="宋体" w:eastAsia="宋体"/>
                <w:color w:val="auto"/>
                <w:szCs w:val="21"/>
              </w:rPr>
              <w:t>63588848</w:t>
            </w:r>
          </w:p>
        </w:tc>
      </w:tr>
      <w:permEnd w:id="50"/>
      <w:tr w14:paraId="2A935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41654EE7">
            <w:pPr>
              <w:tabs>
                <w:tab w:val="left" w:pos="4253"/>
              </w:tabs>
              <w:spacing w:line="276" w:lineRule="auto"/>
              <w:jc w:val="right"/>
              <w:rPr>
                <w:rFonts w:ascii="宋体" w:hAnsi="宋体"/>
                <w:color w:val="auto"/>
                <w:szCs w:val="21"/>
              </w:rPr>
            </w:pPr>
            <w:permStart w:id="51" w:edGrp="everyone" w:colFirst="1" w:colLast="1"/>
            <w:r>
              <w:rPr>
                <w:rFonts w:hint="eastAsia" w:ascii="宋体" w:hAnsi="宋体"/>
                <w:color w:val="auto"/>
                <w:szCs w:val="21"/>
              </w:rPr>
              <w:t>传真：</w:t>
            </w:r>
          </w:p>
        </w:tc>
        <w:tc>
          <w:tcPr>
            <w:tcW w:w="3402" w:type="dxa"/>
            <w:tcBorders>
              <w:top w:val="single" w:color="auto" w:sz="4" w:space="0"/>
              <w:bottom w:val="single" w:color="auto" w:sz="4" w:space="0"/>
            </w:tcBorders>
            <w:vAlign w:val="bottom"/>
          </w:tcPr>
          <w:p w14:paraId="6690D0C1">
            <w:pPr>
              <w:tabs>
                <w:tab w:val="left" w:pos="4253"/>
              </w:tabs>
              <w:snapToGrid w:val="0"/>
              <w:spacing w:line="276" w:lineRule="auto"/>
              <w:rPr>
                <w:rFonts w:ascii="宋体" w:hAnsi="宋体"/>
                <w:color w:val="auto"/>
                <w:szCs w:val="21"/>
              </w:rPr>
            </w:pPr>
          </w:p>
        </w:tc>
        <w:tc>
          <w:tcPr>
            <w:tcW w:w="1701" w:type="dxa"/>
            <w:vAlign w:val="bottom"/>
          </w:tcPr>
          <w:p w14:paraId="5CA557F9">
            <w:pPr>
              <w:tabs>
                <w:tab w:val="left" w:pos="4253"/>
              </w:tabs>
              <w:spacing w:line="276" w:lineRule="auto"/>
              <w:jc w:val="right"/>
              <w:rPr>
                <w:rFonts w:ascii="宋体" w:hAnsi="宋体"/>
                <w:color w:val="auto"/>
                <w:szCs w:val="21"/>
              </w:rPr>
            </w:pPr>
            <w:r>
              <w:rPr>
                <w:rFonts w:hint="eastAsia" w:ascii="宋体" w:hAnsi="宋体"/>
                <w:color w:val="auto"/>
                <w:szCs w:val="21"/>
              </w:rPr>
              <w:t>传真：</w:t>
            </w:r>
          </w:p>
        </w:tc>
        <w:tc>
          <w:tcPr>
            <w:tcW w:w="3402" w:type="dxa"/>
            <w:tcBorders>
              <w:top w:val="single" w:color="auto" w:sz="4" w:space="0"/>
              <w:bottom w:val="single" w:color="auto" w:sz="4" w:space="0"/>
            </w:tcBorders>
            <w:vAlign w:val="bottom"/>
          </w:tcPr>
          <w:p w14:paraId="4E2CDFD2">
            <w:pPr>
              <w:tabs>
                <w:tab w:val="left" w:pos="4253"/>
              </w:tabs>
              <w:snapToGrid w:val="0"/>
              <w:spacing w:line="276" w:lineRule="auto"/>
              <w:rPr>
                <w:rFonts w:ascii="宋体" w:hAnsi="宋体"/>
                <w:color w:val="auto"/>
                <w:szCs w:val="21"/>
              </w:rPr>
            </w:pPr>
            <w:r>
              <w:rPr>
                <w:rFonts w:hint="eastAsia" w:ascii="宋体" w:hAnsi="宋体" w:eastAsia="宋体"/>
                <w:color w:val="auto"/>
                <w:szCs w:val="21"/>
              </w:rPr>
              <w:t>010-</w:t>
            </w:r>
            <w:r>
              <w:rPr>
                <w:rFonts w:ascii="宋体" w:hAnsi="宋体" w:eastAsia="宋体"/>
                <w:color w:val="auto"/>
                <w:szCs w:val="21"/>
              </w:rPr>
              <w:t>63588848</w:t>
            </w:r>
          </w:p>
        </w:tc>
      </w:tr>
      <w:permEnd w:id="51"/>
      <w:tr w14:paraId="4E3A9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71B6FED6">
            <w:pPr>
              <w:tabs>
                <w:tab w:val="left" w:pos="4253"/>
              </w:tabs>
              <w:spacing w:line="276" w:lineRule="auto"/>
              <w:jc w:val="right"/>
              <w:rPr>
                <w:rFonts w:ascii="宋体" w:hAnsi="宋体"/>
                <w:color w:val="auto"/>
                <w:szCs w:val="21"/>
              </w:rPr>
            </w:pPr>
            <w:permStart w:id="52" w:edGrp="everyone" w:colFirst="1" w:colLast="1"/>
            <w:r>
              <w:rPr>
                <w:rFonts w:hint="eastAsia" w:ascii="宋体" w:hAnsi="宋体"/>
                <w:color w:val="auto"/>
                <w:szCs w:val="21"/>
              </w:rPr>
              <w:t>网址：</w:t>
            </w:r>
          </w:p>
        </w:tc>
        <w:tc>
          <w:tcPr>
            <w:tcW w:w="3402" w:type="dxa"/>
            <w:tcBorders>
              <w:top w:val="single" w:color="auto" w:sz="4" w:space="0"/>
              <w:bottom w:val="single" w:color="auto" w:sz="4" w:space="0"/>
            </w:tcBorders>
            <w:vAlign w:val="bottom"/>
          </w:tcPr>
          <w:p w14:paraId="145B5DDE">
            <w:pPr>
              <w:tabs>
                <w:tab w:val="left" w:pos="4253"/>
              </w:tabs>
              <w:snapToGrid w:val="0"/>
              <w:spacing w:line="276" w:lineRule="auto"/>
              <w:rPr>
                <w:rFonts w:ascii="宋体" w:hAnsi="宋体"/>
                <w:color w:val="auto"/>
                <w:szCs w:val="21"/>
              </w:rPr>
            </w:pPr>
          </w:p>
        </w:tc>
        <w:tc>
          <w:tcPr>
            <w:tcW w:w="1701" w:type="dxa"/>
            <w:vAlign w:val="bottom"/>
          </w:tcPr>
          <w:p w14:paraId="102CC686">
            <w:pPr>
              <w:tabs>
                <w:tab w:val="left" w:pos="4253"/>
              </w:tabs>
              <w:spacing w:line="276" w:lineRule="auto"/>
              <w:jc w:val="right"/>
              <w:rPr>
                <w:rFonts w:ascii="宋体" w:hAnsi="宋体"/>
                <w:color w:val="auto"/>
                <w:szCs w:val="21"/>
              </w:rPr>
            </w:pPr>
            <w:r>
              <w:rPr>
                <w:rFonts w:hint="eastAsia" w:ascii="宋体" w:hAnsi="宋体"/>
                <w:color w:val="auto"/>
                <w:szCs w:val="21"/>
              </w:rPr>
              <w:t>网址：</w:t>
            </w:r>
          </w:p>
        </w:tc>
        <w:tc>
          <w:tcPr>
            <w:tcW w:w="3402" w:type="dxa"/>
            <w:tcBorders>
              <w:top w:val="single" w:color="auto" w:sz="4" w:space="0"/>
              <w:bottom w:val="single" w:color="auto" w:sz="4" w:space="0"/>
            </w:tcBorders>
            <w:vAlign w:val="bottom"/>
          </w:tcPr>
          <w:p w14:paraId="20C8B0FD">
            <w:pPr>
              <w:tabs>
                <w:tab w:val="left" w:pos="4253"/>
              </w:tabs>
              <w:snapToGrid w:val="0"/>
              <w:spacing w:line="276" w:lineRule="auto"/>
              <w:rPr>
                <w:rFonts w:hint="eastAsia" w:ascii="宋体" w:hAnsi="宋体" w:eastAsia="宋体"/>
                <w:color w:val="auto"/>
                <w:szCs w:val="21"/>
              </w:rPr>
            </w:pPr>
            <w:r>
              <w:rPr>
                <w:rFonts w:hint="eastAsia" w:ascii="宋体" w:hAnsi="宋体" w:eastAsia="宋体"/>
                <w:color w:val="auto"/>
                <w:szCs w:val="21"/>
              </w:rPr>
              <w:fldChar w:fldCharType="begin"/>
            </w:r>
            <w:r>
              <w:rPr>
                <w:rFonts w:hint="eastAsia" w:ascii="宋体" w:hAnsi="宋体" w:eastAsia="宋体"/>
                <w:color w:val="auto"/>
                <w:szCs w:val="21"/>
              </w:rPr>
              <w:instrText xml:space="preserve"> HYPERLINK "http://www.cqe-iso." </w:instrText>
            </w:r>
            <w:r>
              <w:rPr>
                <w:rFonts w:hint="eastAsia" w:ascii="宋体" w:hAnsi="宋体" w:eastAsia="宋体"/>
                <w:color w:val="auto"/>
                <w:szCs w:val="21"/>
              </w:rPr>
              <w:fldChar w:fldCharType="separate"/>
            </w:r>
            <w:r>
              <w:rPr>
                <w:rFonts w:hint="eastAsia" w:ascii="宋体" w:hAnsi="宋体" w:eastAsia="宋体"/>
                <w:color w:val="auto"/>
                <w:szCs w:val="21"/>
              </w:rPr>
              <w:t>www.cqe-iso.</w:t>
            </w:r>
            <w:r>
              <w:rPr>
                <w:rFonts w:hint="eastAsia" w:ascii="宋体" w:hAnsi="宋体" w:eastAsia="宋体"/>
                <w:color w:val="auto"/>
                <w:szCs w:val="21"/>
              </w:rPr>
              <w:fldChar w:fldCharType="end"/>
            </w:r>
            <w:r>
              <w:rPr>
                <w:rFonts w:hint="eastAsia" w:ascii="宋体" w:hAnsi="宋体" w:eastAsia="宋体"/>
                <w:color w:val="auto"/>
                <w:szCs w:val="21"/>
              </w:rPr>
              <w:t>com</w:t>
            </w:r>
          </w:p>
        </w:tc>
      </w:tr>
      <w:permEnd w:id="52"/>
      <w:tr w14:paraId="499D8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38C48FD3">
            <w:pPr>
              <w:tabs>
                <w:tab w:val="left" w:pos="4253"/>
              </w:tabs>
              <w:spacing w:line="276" w:lineRule="auto"/>
              <w:jc w:val="right"/>
              <w:rPr>
                <w:rFonts w:ascii="宋体" w:hAnsi="宋体"/>
                <w:color w:val="auto"/>
                <w:szCs w:val="21"/>
              </w:rPr>
            </w:pPr>
            <w:permStart w:id="53" w:edGrp="everyone" w:colFirst="1" w:colLast="1"/>
            <w:r>
              <w:rPr>
                <w:rFonts w:hint="eastAsia" w:ascii="宋体" w:hAnsi="宋体"/>
                <w:color w:val="auto"/>
                <w:szCs w:val="21"/>
              </w:rPr>
              <w:t>电子邮件：</w:t>
            </w:r>
          </w:p>
        </w:tc>
        <w:tc>
          <w:tcPr>
            <w:tcW w:w="3402" w:type="dxa"/>
            <w:tcBorders>
              <w:top w:val="single" w:color="auto" w:sz="4" w:space="0"/>
              <w:bottom w:val="single" w:color="auto" w:sz="4" w:space="0"/>
            </w:tcBorders>
            <w:vAlign w:val="bottom"/>
          </w:tcPr>
          <w:p w14:paraId="67CE6C63">
            <w:pPr>
              <w:tabs>
                <w:tab w:val="left" w:pos="4253"/>
              </w:tabs>
              <w:snapToGrid w:val="0"/>
              <w:spacing w:line="276" w:lineRule="auto"/>
              <w:rPr>
                <w:rFonts w:ascii="宋体" w:hAnsi="宋体"/>
                <w:color w:val="auto"/>
                <w:szCs w:val="21"/>
              </w:rPr>
            </w:pPr>
          </w:p>
        </w:tc>
        <w:tc>
          <w:tcPr>
            <w:tcW w:w="1701" w:type="dxa"/>
            <w:vAlign w:val="bottom"/>
          </w:tcPr>
          <w:p w14:paraId="752110E4">
            <w:pPr>
              <w:tabs>
                <w:tab w:val="left" w:pos="4253"/>
              </w:tabs>
              <w:spacing w:line="276" w:lineRule="auto"/>
              <w:jc w:val="right"/>
              <w:rPr>
                <w:rFonts w:ascii="宋体" w:hAnsi="宋体"/>
                <w:color w:val="auto"/>
                <w:szCs w:val="21"/>
              </w:rPr>
            </w:pPr>
            <w:r>
              <w:rPr>
                <w:rFonts w:hint="eastAsia" w:ascii="宋体" w:hAnsi="宋体"/>
                <w:color w:val="auto"/>
                <w:szCs w:val="21"/>
              </w:rPr>
              <w:t>电子邮件：</w:t>
            </w:r>
          </w:p>
        </w:tc>
        <w:tc>
          <w:tcPr>
            <w:tcW w:w="3402" w:type="dxa"/>
            <w:tcBorders>
              <w:top w:val="single" w:color="auto" w:sz="4" w:space="0"/>
              <w:bottom w:val="single" w:color="auto" w:sz="4" w:space="0"/>
            </w:tcBorders>
            <w:vAlign w:val="bottom"/>
          </w:tcPr>
          <w:p w14:paraId="1091EF7F">
            <w:pPr>
              <w:tabs>
                <w:tab w:val="left" w:pos="4253"/>
              </w:tabs>
              <w:snapToGrid w:val="0"/>
              <w:spacing w:line="276" w:lineRule="auto"/>
              <w:rPr>
                <w:rFonts w:hint="eastAsia" w:ascii="宋体" w:hAnsi="宋体" w:eastAsia="宋体"/>
                <w:color w:val="auto"/>
                <w:szCs w:val="21"/>
              </w:rPr>
            </w:pPr>
            <w:bookmarkStart w:id="2" w:name="_Hlk60235079"/>
            <w:r>
              <w:rPr>
                <w:rFonts w:hint="eastAsia" w:ascii="宋体" w:hAnsi="宋体" w:eastAsia="宋体"/>
                <w:color w:val="auto"/>
                <w:szCs w:val="21"/>
              </w:rPr>
              <w:t>cqe_iso@163.com</w:t>
            </w:r>
            <w:bookmarkEnd w:id="2"/>
          </w:p>
        </w:tc>
      </w:tr>
      <w:permEnd w:id="53"/>
      <w:tr w14:paraId="6F237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3B66BADD">
            <w:pPr>
              <w:tabs>
                <w:tab w:val="left" w:pos="4253"/>
              </w:tabs>
              <w:spacing w:line="276" w:lineRule="auto"/>
              <w:jc w:val="right"/>
              <w:rPr>
                <w:rFonts w:ascii="宋体" w:hAnsi="宋体"/>
                <w:color w:val="auto"/>
                <w:szCs w:val="21"/>
              </w:rPr>
            </w:pPr>
            <w:permStart w:id="54" w:edGrp="everyone" w:colFirst="1" w:colLast="1"/>
            <w:r>
              <w:rPr>
                <w:rFonts w:hint="eastAsia" w:ascii="宋体" w:hAnsi="宋体"/>
                <w:color w:val="auto"/>
                <w:szCs w:val="21"/>
              </w:rPr>
              <w:t>纳税人识别号：</w:t>
            </w:r>
          </w:p>
        </w:tc>
        <w:tc>
          <w:tcPr>
            <w:tcW w:w="3402" w:type="dxa"/>
            <w:tcBorders>
              <w:top w:val="single" w:color="auto" w:sz="4" w:space="0"/>
              <w:bottom w:val="single" w:color="auto" w:sz="4" w:space="0"/>
            </w:tcBorders>
            <w:vAlign w:val="bottom"/>
          </w:tcPr>
          <w:p w14:paraId="6F1B8D6B">
            <w:pPr>
              <w:tabs>
                <w:tab w:val="left" w:pos="4253"/>
              </w:tabs>
              <w:snapToGrid w:val="0"/>
              <w:spacing w:line="276" w:lineRule="auto"/>
              <w:rPr>
                <w:rFonts w:ascii="宋体" w:hAnsi="宋体"/>
                <w:color w:val="auto"/>
                <w:szCs w:val="21"/>
              </w:rPr>
            </w:pPr>
          </w:p>
        </w:tc>
        <w:tc>
          <w:tcPr>
            <w:tcW w:w="1701" w:type="dxa"/>
            <w:vAlign w:val="bottom"/>
          </w:tcPr>
          <w:p w14:paraId="0F0D399C">
            <w:pPr>
              <w:tabs>
                <w:tab w:val="left" w:pos="4253"/>
              </w:tabs>
              <w:spacing w:line="276" w:lineRule="auto"/>
              <w:jc w:val="right"/>
              <w:rPr>
                <w:rFonts w:ascii="宋体" w:hAnsi="宋体"/>
                <w:color w:val="auto"/>
                <w:szCs w:val="21"/>
              </w:rPr>
            </w:pPr>
            <w:r>
              <w:rPr>
                <w:rFonts w:hint="eastAsia" w:ascii="宋体" w:hAnsi="宋体"/>
                <w:color w:val="auto"/>
                <w:szCs w:val="21"/>
              </w:rPr>
              <w:t>纳税人识别号：</w:t>
            </w:r>
          </w:p>
        </w:tc>
        <w:tc>
          <w:tcPr>
            <w:tcW w:w="3402" w:type="dxa"/>
            <w:tcBorders>
              <w:top w:val="single" w:color="auto" w:sz="4" w:space="0"/>
              <w:bottom w:val="single" w:color="auto" w:sz="4" w:space="0"/>
            </w:tcBorders>
            <w:vAlign w:val="bottom"/>
          </w:tcPr>
          <w:p w14:paraId="0967D357">
            <w:pPr>
              <w:tabs>
                <w:tab w:val="left" w:pos="4253"/>
              </w:tabs>
              <w:snapToGrid w:val="0"/>
              <w:spacing w:line="276" w:lineRule="auto"/>
              <w:rPr>
                <w:rFonts w:hint="eastAsia" w:ascii="宋体" w:hAnsi="宋体" w:eastAsia="宋体"/>
                <w:color w:val="auto"/>
                <w:szCs w:val="21"/>
              </w:rPr>
            </w:pPr>
            <w:r>
              <w:rPr>
                <w:rFonts w:hint="eastAsia" w:ascii="宋体" w:hAnsi="宋体" w:eastAsia="宋体"/>
                <w:color w:val="auto"/>
                <w:szCs w:val="21"/>
              </w:rPr>
              <w:t>91110102MA01R1ND09</w:t>
            </w:r>
          </w:p>
        </w:tc>
      </w:tr>
      <w:permEnd w:id="54"/>
      <w:tr w14:paraId="1974F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center"/>
          </w:tcPr>
          <w:p w14:paraId="3E94CAD7">
            <w:pPr>
              <w:tabs>
                <w:tab w:val="left" w:pos="4253"/>
              </w:tabs>
              <w:spacing w:line="276" w:lineRule="auto"/>
              <w:jc w:val="right"/>
              <w:rPr>
                <w:rFonts w:ascii="宋体" w:hAnsi="宋体"/>
                <w:color w:val="auto"/>
                <w:szCs w:val="21"/>
              </w:rPr>
            </w:pPr>
            <w:permStart w:id="55" w:edGrp="everyone" w:colFirst="1" w:colLast="1"/>
            <w:r>
              <w:rPr>
                <w:rFonts w:hint="eastAsia" w:ascii="宋体" w:hAnsi="宋体"/>
                <w:color w:val="auto"/>
                <w:szCs w:val="21"/>
              </w:rPr>
              <w:t>开户银行：</w:t>
            </w:r>
          </w:p>
        </w:tc>
        <w:tc>
          <w:tcPr>
            <w:tcW w:w="3402" w:type="dxa"/>
            <w:tcBorders>
              <w:top w:val="single" w:color="auto" w:sz="4" w:space="0"/>
              <w:bottom w:val="single" w:color="auto" w:sz="4" w:space="0"/>
            </w:tcBorders>
            <w:vAlign w:val="bottom"/>
          </w:tcPr>
          <w:p w14:paraId="6D3674FE">
            <w:pPr>
              <w:tabs>
                <w:tab w:val="left" w:pos="4253"/>
              </w:tabs>
              <w:snapToGrid w:val="0"/>
              <w:spacing w:line="276" w:lineRule="auto"/>
              <w:rPr>
                <w:rFonts w:ascii="宋体" w:hAnsi="宋体"/>
                <w:color w:val="auto"/>
                <w:szCs w:val="21"/>
              </w:rPr>
            </w:pPr>
          </w:p>
        </w:tc>
        <w:tc>
          <w:tcPr>
            <w:tcW w:w="1701" w:type="dxa"/>
            <w:vAlign w:val="center"/>
          </w:tcPr>
          <w:p w14:paraId="5D331AC6">
            <w:pPr>
              <w:tabs>
                <w:tab w:val="left" w:pos="4253"/>
              </w:tabs>
              <w:spacing w:line="276" w:lineRule="auto"/>
              <w:jc w:val="right"/>
              <w:rPr>
                <w:rFonts w:ascii="宋体" w:hAnsi="宋体"/>
                <w:color w:val="auto"/>
                <w:szCs w:val="21"/>
              </w:rPr>
            </w:pPr>
            <w:r>
              <w:rPr>
                <w:rFonts w:hint="eastAsia" w:ascii="宋体" w:hAnsi="宋体"/>
                <w:color w:val="auto"/>
                <w:szCs w:val="21"/>
              </w:rPr>
              <w:t>开户银行：</w:t>
            </w:r>
          </w:p>
        </w:tc>
        <w:tc>
          <w:tcPr>
            <w:tcW w:w="3402" w:type="dxa"/>
            <w:tcBorders>
              <w:top w:val="single" w:color="auto" w:sz="4" w:space="0"/>
            </w:tcBorders>
            <w:vAlign w:val="bottom"/>
          </w:tcPr>
          <w:p w14:paraId="0C970A5B">
            <w:pPr>
              <w:tabs>
                <w:tab w:val="left" w:pos="4253"/>
              </w:tabs>
              <w:snapToGrid w:val="0"/>
              <w:spacing w:line="276" w:lineRule="auto"/>
              <w:rPr>
                <w:rFonts w:hint="eastAsia" w:ascii="宋体" w:hAnsi="宋体" w:eastAsia="宋体"/>
                <w:color w:val="auto"/>
                <w:szCs w:val="21"/>
              </w:rPr>
            </w:pPr>
            <w:r>
              <w:rPr>
                <w:rFonts w:hint="eastAsia" w:ascii="宋体" w:hAnsi="宋体" w:eastAsia="宋体"/>
                <w:color w:val="auto"/>
                <w:szCs w:val="21"/>
              </w:rPr>
              <w:t>中国工商银行北京广安门支行</w:t>
            </w:r>
          </w:p>
        </w:tc>
      </w:tr>
      <w:permEnd w:id="55"/>
      <w:tr w14:paraId="01547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367B1C6F">
            <w:pPr>
              <w:tabs>
                <w:tab w:val="left" w:pos="4253"/>
              </w:tabs>
              <w:spacing w:line="276" w:lineRule="auto"/>
              <w:jc w:val="right"/>
              <w:rPr>
                <w:rFonts w:ascii="宋体" w:hAnsi="宋体"/>
                <w:color w:val="auto"/>
                <w:szCs w:val="21"/>
              </w:rPr>
            </w:pPr>
            <w:permStart w:id="56" w:edGrp="everyone" w:colFirst="1" w:colLast="1"/>
            <w:r>
              <w:rPr>
                <w:rFonts w:hint="eastAsia" w:ascii="宋体" w:hAnsi="宋体"/>
                <w:color w:val="auto"/>
                <w:szCs w:val="21"/>
              </w:rPr>
              <w:t>户名：</w:t>
            </w:r>
          </w:p>
        </w:tc>
        <w:tc>
          <w:tcPr>
            <w:tcW w:w="3402" w:type="dxa"/>
            <w:tcBorders>
              <w:top w:val="single" w:color="auto" w:sz="4" w:space="0"/>
              <w:bottom w:val="single" w:color="auto" w:sz="4" w:space="0"/>
            </w:tcBorders>
            <w:vAlign w:val="bottom"/>
          </w:tcPr>
          <w:p w14:paraId="2BFEACBC">
            <w:pPr>
              <w:tabs>
                <w:tab w:val="left" w:pos="4253"/>
              </w:tabs>
              <w:snapToGrid w:val="0"/>
              <w:spacing w:line="276" w:lineRule="auto"/>
              <w:rPr>
                <w:rFonts w:ascii="宋体" w:hAnsi="宋体"/>
                <w:color w:val="auto"/>
                <w:szCs w:val="21"/>
              </w:rPr>
            </w:pPr>
          </w:p>
        </w:tc>
        <w:tc>
          <w:tcPr>
            <w:tcW w:w="1701" w:type="dxa"/>
            <w:vAlign w:val="bottom"/>
          </w:tcPr>
          <w:p w14:paraId="64357D0A">
            <w:pPr>
              <w:tabs>
                <w:tab w:val="left" w:pos="4253"/>
              </w:tabs>
              <w:spacing w:line="276" w:lineRule="auto"/>
              <w:jc w:val="right"/>
              <w:rPr>
                <w:rFonts w:ascii="宋体" w:hAnsi="宋体"/>
                <w:color w:val="auto"/>
                <w:szCs w:val="21"/>
              </w:rPr>
            </w:pPr>
            <w:r>
              <w:rPr>
                <w:rFonts w:hint="eastAsia" w:ascii="宋体" w:hAnsi="宋体"/>
                <w:color w:val="auto"/>
                <w:szCs w:val="21"/>
              </w:rPr>
              <w:t>户名：</w:t>
            </w:r>
          </w:p>
        </w:tc>
        <w:tc>
          <w:tcPr>
            <w:tcW w:w="3402" w:type="dxa"/>
            <w:tcBorders>
              <w:bottom w:val="single" w:color="auto" w:sz="4" w:space="0"/>
            </w:tcBorders>
            <w:vAlign w:val="bottom"/>
          </w:tcPr>
          <w:p w14:paraId="730AD32E">
            <w:pPr>
              <w:tabs>
                <w:tab w:val="left" w:pos="4253"/>
              </w:tabs>
              <w:snapToGrid w:val="0"/>
              <w:spacing w:line="276" w:lineRule="auto"/>
              <w:rPr>
                <w:rFonts w:hint="eastAsia" w:ascii="宋体" w:hAnsi="宋体" w:eastAsia="宋体"/>
                <w:color w:val="auto"/>
                <w:szCs w:val="21"/>
              </w:rPr>
            </w:pPr>
            <w:r>
              <w:rPr>
                <w:rFonts w:hint="eastAsia" w:ascii="宋体" w:hAnsi="宋体" w:eastAsia="宋体"/>
                <w:color w:val="auto"/>
                <w:szCs w:val="21"/>
              </w:rPr>
              <w:t>北京中质晟检测认证有限公司</w:t>
            </w:r>
          </w:p>
        </w:tc>
      </w:tr>
      <w:permEnd w:id="56"/>
      <w:tr w14:paraId="77AD7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bottom"/>
          </w:tcPr>
          <w:p w14:paraId="1F77D093">
            <w:pPr>
              <w:tabs>
                <w:tab w:val="left" w:pos="4253"/>
              </w:tabs>
              <w:spacing w:line="276" w:lineRule="auto"/>
              <w:jc w:val="right"/>
              <w:rPr>
                <w:rFonts w:ascii="宋体" w:hAnsi="宋体"/>
                <w:color w:val="auto"/>
                <w:szCs w:val="21"/>
              </w:rPr>
            </w:pPr>
            <w:permStart w:id="57" w:edGrp="everyone" w:colFirst="1" w:colLast="1"/>
            <w:r>
              <w:rPr>
                <w:rFonts w:hint="eastAsia" w:ascii="宋体" w:hAnsi="宋体"/>
                <w:color w:val="auto"/>
                <w:szCs w:val="21"/>
              </w:rPr>
              <w:t>银行账号：</w:t>
            </w:r>
          </w:p>
        </w:tc>
        <w:tc>
          <w:tcPr>
            <w:tcW w:w="3402" w:type="dxa"/>
            <w:tcBorders>
              <w:top w:val="single" w:color="auto" w:sz="4" w:space="0"/>
              <w:bottom w:val="single" w:color="auto" w:sz="4" w:space="0"/>
            </w:tcBorders>
            <w:vAlign w:val="bottom"/>
          </w:tcPr>
          <w:p w14:paraId="52894D0D">
            <w:pPr>
              <w:tabs>
                <w:tab w:val="left" w:pos="4253"/>
              </w:tabs>
              <w:snapToGrid w:val="0"/>
              <w:spacing w:line="276" w:lineRule="auto"/>
              <w:rPr>
                <w:rFonts w:ascii="宋体" w:hAnsi="宋体"/>
                <w:color w:val="auto"/>
                <w:szCs w:val="21"/>
              </w:rPr>
            </w:pPr>
          </w:p>
        </w:tc>
        <w:tc>
          <w:tcPr>
            <w:tcW w:w="1701" w:type="dxa"/>
            <w:vAlign w:val="bottom"/>
          </w:tcPr>
          <w:p w14:paraId="785DD328">
            <w:pPr>
              <w:tabs>
                <w:tab w:val="left" w:pos="4253"/>
              </w:tabs>
              <w:spacing w:line="276" w:lineRule="auto"/>
              <w:jc w:val="right"/>
              <w:rPr>
                <w:rFonts w:ascii="宋体" w:hAnsi="宋体"/>
                <w:color w:val="auto"/>
                <w:szCs w:val="21"/>
              </w:rPr>
            </w:pPr>
            <w:r>
              <w:rPr>
                <w:rFonts w:hint="eastAsia" w:ascii="宋体" w:hAnsi="宋体"/>
                <w:color w:val="auto"/>
                <w:szCs w:val="21"/>
              </w:rPr>
              <w:t>银行账号：</w:t>
            </w:r>
          </w:p>
        </w:tc>
        <w:tc>
          <w:tcPr>
            <w:tcW w:w="3402" w:type="dxa"/>
            <w:tcBorders>
              <w:top w:val="single" w:color="auto" w:sz="4" w:space="0"/>
              <w:bottom w:val="single" w:color="auto" w:sz="4" w:space="0"/>
            </w:tcBorders>
            <w:vAlign w:val="bottom"/>
          </w:tcPr>
          <w:p w14:paraId="427AAF8D">
            <w:pPr>
              <w:tabs>
                <w:tab w:val="left" w:pos="4253"/>
              </w:tabs>
              <w:snapToGrid w:val="0"/>
              <w:spacing w:line="276" w:lineRule="auto"/>
              <w:rPr>
                <w:rFonts w:hint="eastAsia" w:ascii="宋体" w:hAnsi="宋体" w:eastAsia="宋体"/>
                <w:color w:val="auto"/>
                <w:szCs w:val="21"/>
              </w:rPr>
            </w:pPr>
            <w:r>
              <w:rPr>
                <w:rFonts w:hint="eastAsia" w:ascii="宋体" w:hAnsi="宋体" w:eastAsia="宋体"/>
                <w:color w:val="auto"/>
                <w:szCs w:val="21"/>
              </w:rPr>
              <w:t>0200001909200159681</w:t>
            </w:r>
          </w:p>
        </w:tc>
      </w:tr>
      <w:permEnd w:id="57"/>
      <w:tr w14:paraId="4E257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8" w:hRule="atLeast"/>
          <w:jc w:val="center"/>
        </w:trPr>
        <w:tc>
          <w:tcPr>
            <w:tcW w:w="1701" w:type="dxa"/>
            <w:vAlign w:val="center"/>
          </w:tcPr>
          <w:p w14:paraId="55CE68E7">
            <w:pPr>
              <w:tabs>
                <w:tab w:val="left" w:pos="4253"/>
              </w:tabs>
              <w:spacing w:line="276" w:lineRule="auto"/>
              <w:jc w:val="right"/>
              <w:rPr>
                <w:rFonts w:ascii="宋体" w:hAnsi="宋体"/>
                <w:color w:val="auto"/>
                <w:szCs w:val="21"/>
              </w:rPr>
            </w:pPr>
            <w:permStart w:id="58" w:edGrp="everyone" w:colFirst="1" w:colLast="1"/>
            <w:r>
              <w:rPr>
                <w:rFonts w:hint="eastAsia" w:ascii="宋体" w:hAnsi="宋体"/>
                <w:color w:val="auto"/>
                <w:szCs w:val="21"/>
              </w:rPr>
              <w:t>甲方：</w:t>
            </w:r>
          </w:p>
        </w:tc>
        <w:tc>
          <w:tcPr>
            <w:tcW w:w="3402" w:type="dxa"/>
            <w:tcBorders>
              <w:top w:val="single" w:color="auto" w:sz="4" w:space="0"/>
            </w:tcBorders>
            <w:vAlign w:val="center"/>
          </w:tcPr>
          <w:p w14:paraId="6A9B36C3">
            <w:pPr>
              <w:tabs>
                <w:tab w:val="left" w:pos="4253"/>
              </w:tabs>
              <w:spacing w:line="276" w:lineRule="auto"/>
              <w:rPr>
                <w:rFonts w:ascii="宋体" w:hAnsi="宋体"/>
                <w:color w:val="auto"/>
                <w:szCs w:val="21"/>
              </w:rPr>
            </w:pPr>
          </w:p>
        </w:tc>
        <w:tc>
          <w:tcPr>
            <w:tcW w:w="1701" w:type="dxa"/>
            <w:vAlign w:val="center"/>
          </w:tcPr>
          <w:p w14:paraId="5F90D6AA">
            <w:pPr>
              <w:tabs>
                <w:tab w:val="left" w:pos="4253"/>
              </w:tabs>
              <w:spacing w:line="276" w:lineRule="auto"/>
              <w:jc w:val="right"/>
              <w:rPr>
                <w:rFonts w:ascii="宋体" w:hAnsi="宋体"/>
                <w:color w:val="auto"/>
                <w:szCs w:val="21"/>
              </w:rPr>
            </w:pPr>
            <w:r>
              <w:rPr>
                <w:rFonts w:hint="eastAsia" w:ascii="宋体" w:hAnsi="宋体"/>
                <w:color w:val="auto"/>
                <w:szCs w:val="21"/>
              </w:rPr>
              <w:t>乙方：</w:t>
            </w:r>
          </w:p>
        </w:tc>
        <w:tc>
          <w:tcPr>
            <w:tcW w:w="3402" w:type="dxa"/>
            <w:tcBorders>
              <w:top w:val="single" w:color="auto" w:sz="4" w:space="0"/>
            </w:tcBorders>
            <w:vAlign w:val="center"/>
          </w:tcPr>
          <w:p w14:paraId="52883350">
            <w:pPr>
              <w:tabs>
                <w:tab w:val="left" w:pos="4253"/>
              </w:tabs>
              <w:spacing w:line="276" w:lineRule="auto"/>
              <w:rPr>
                <w:rFonts w:ascii="宋体" w:hAnsi="宋体"/>
                <w:color w:val="auto"/>
                <w:szCs w:val="21"/>
              </w:rPr>
            </w:pPr>
          </w:p>
        </w:tc>
      </w:tr>
      <w:permEnd w:id="58"/>
      <w:tr w14:paraId="345FD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701" w:type="dxa"/>
            <w:vAlign w:val="center"/>
          </w:tcPr>
          <w:p w14:paraId="0D9575CE">
            <w:pPr>
              <w:tabs>
                <w:tab w:val="left" w:pos="4253"/>
              </w:tabs>
              <w:spacing w:line="276" w:lineRule="auto"/>
              <w:jc w:val="right"/>
              <w:rPr>
                <w:rFonts w:ascii="宋体" w:hAnsi="宋体"/>
                <w:color w:val="auto"/>
                <w:szCs w:val="21"/>
              </w:rPr>
            </w:pPr>
          </w:p>
        </w:tc>
        <w:tc>
          <w:tcPr>
            <w:tcW w:w="3402" w:type="dxa"/>
            <w:vAlign w:val="center"/>
          </w:tcPr>
          <w:p w14:paraId="39D516D6">
            <w:pPr>
              <w:tabs>
                <w:tab w:val="left" w:pos="4253"/>
              </w:tabs>
              <w:spacing w:line="276" w:lineRule="auto"/>
              <w:jc w:val="center"/>
              <w:rPr>
                <w:rFonts w:ascii="宋体" w:hAnsi="宋体"/>
                <w:color w:val="auto"/>
                <w:szCs w:val="21"/>
              </w:rPr>
            </w:pPr>
            <w:r>
              <w:rPr>
                <w:rFonts w:hint="eastAsia" w:ascii="宋体" w:hAnsi="宋体"/>
                <w:color w:val="auto"/>
                <w:szCs w:val="21"/>
              </w:rPr>
              <w:t>（合同章）</w:t>
            </w:r>
          </w:p>
        </w:tc>
        <w:tc>
          <w:tcPr>
            <w:tcW w:w="1701" w:type="dxa"/>
            <w:vAlign w:val="center"/>
          </w:tcPr>
          <w:p w14:paraId="3ED9CFA8">
            <w:pPr>
              <w:tabs>
                <w:tab w:val="left" w:pos="4253"/>
              </w:tabs>
              <w:spacing w:line="276" w:lineRule="auto"/>
              <w:jc w:val="right"/>
              <w:rPr>
                <w:rFonts w:ascii="宋体" w:hAnsi="宋体"/>
                <w:color w:val="auto"/>
                <w:szCs w:val="21"/>
              </w:rPr>
            </w:pPr>
          </w:p>
        </w:tc>
        <w:tc>
          <w:tcPr>
            <w:tcW w:w="3402" w:type="dxa"/>
            <w:vAlign w:val="center"/>
          </w:tcPr>
          <w:p w14:paraId="4500378C">
            <w:pPr>
              <w:tabs>
                <w:tab w:val="left" w:pos="4253"/>
              </w:tabs>
              <w:spacing w:line="276" w:lineRule="auto"/>
              <w:jc w:val="center"/>
              <w:rPr>
                <w:rFonts w:ascii="宋体" w:hAnsi="宋体"/>
                <w:color w:val="auto"/>
                <w:szCs w:val="21"/>
              </w:rPr>
            </w:pPr>
            <w:r>
              <w:rPr>
                <w:rFonts w:hint="eastAsia" w:ascii="宋体" w:hAnsi="宋体"/>
                <w:color w:val="auto"/>
                <w:szCs w:val="21"/>
              </w:rPr>
              <w:t>（合同章）</w:t>
            </w:r>
          </w:p>
        </w:tc>
      </w:tr>
    </w:tbl>
    <w:p w14:paraId="5B95CD5A">
      <w:pPr>
        <w:widowControl/>
        <w:spacing w:line="276" w:lineRule="auto"/>
        <w:jc w:val="left"/>
        <w:rPr>
          <w:rFonts w:ascii="宋体" w:hAnsi="宋体"/>
          <w:color w:val="auto"/>
          <w:szCs w:val="21"/>
        </w:rPr>
        <w:sectPr>
          <w:headerReference r:id="rId8" w:type="default"/>
          <w:footerReference r:id="rId9" w:type="default"/>
          <w:pgSz w:w="11906" w:h="16838"/>
          <w:pgMar w:top="1304" w:right="1077" w:bottom="964" w:left="1077" w:header="885" w:footer="590" w:gutter="0"/>
          <w:pgNumType w:fmt="decimal" w:start="1"/>
          <w:cols w:space="720" w:num="1"/>
          <w:docGrid w:type="lines" w:linePitch="312" w:charSpace="0"/>
        </w:sectPr>
      </w:pPr>
    </w:p>
    <w:p w14:paraId="1CF3DEAC">
      <w:pPr>
        <w:autoSpaceDE w:val="0"/>
        <w:autoSpaceDN w:val="0"/>
        <w:adjustRightInd w:val="0"/>
        <w:spacing w:line="276" w:lineRule="auto"/>
        <w:jc w:val="left"/>
        <w:rPr>
          <w:rFonts w:ascii="宋体" w:hAnsi="宋体"/>
          <w:b/>
          <w:bCs/>
          <w:color w:val="auto"/>
          <w:kern w:val="0"/>
          <w:szCs w:val="21"/>
        </w:rPr>
      </w:pPr>
      <w:r>
        <w:rPr>
          <w:rFonts w:hint="eastAsia" w:ascii="宋体" w:hAnsi="宋体"/>
          <w:color w:val="auto"/>
          <w:kern w:val="0"/>
          <w:szCs w:val="21"/>
        </w:rPr>
        <w:t>合同附件：</w:t>
      </w:r>
    </w:p>
    <w:p w14:paraId="52B23251">
      <w:pPr>
        <w:autoSpaceDE w:val="0"/>
        <w:autoSpaceDN w:val="0"/>
        <w:adjustRightInd w:val="0"/>
        <w:spacing w:line="276" w:lineRule="auto"/>
        <w:jc w:val="center"/>
        <w:rPr>
          <w:rFonts w:ascii="宋体" w:hAnsi="宋体" w:cs="宋体e眠副浡渀."/>
          <w:b/>
          <w:color w:val="auto"/>
          <w:kern w:val="0"/>
          <w:szCs w:val="21"/>
        </w:rPr>
      </w:pPr>
      <w:r>
        <w:rPr>
          <w:rFonts w:hint="eastAsia" w:ascii="宋体" w:hAnsi="宋体" w:cs="黑体e眠副浡渀."/>
          <w:b/>
          <w:color w:val="auto"/>
          <w:kern w:val="0"/>
          <w:szCs w:val="21"/>
        </w:rPr>
        <w:t>保密协议</w:t>
      </w:r>
    </w:p>
    <w:p w14:paraId="1941325B">
      <w:pPr>
        <w:autoSpaceDE w:val="0"/>
        <w:autoSpaceDN w:val="0"/>
        <w:adjustRightInd w:val="0"/>
        <w:spacing w:line="276" w:lineRule="auto"/>
        <w:jc w:val="left"/>
        <w:rPr>
          <w:rFonts w:ascii="宋体" w:hAnsi="宋体"/>
          <w:color w:val="auto"/>
          <w:kern w:val="0"/>
          <w:szCs w:val="21"/>
        </w:rPr>
      </w:pPr>
      <w:r>
        <w:rPr>
          <w:rFonts w:hint="eastAsia" w:ascii="宋体" w:hAnsi="宋体" w:cs="宋体"/>
          <w:color w:val="auto"/>
          <w:kern w:val="0"/>
          <w:szCs w:val="21"/>
        </w:rPr>
        <w:t>协议编号：</w:t>
      </w:r>
    </w:p>
    <w:p w14:paraId="75359A3B">
      <w:pPr>
        <w:autoSpaceDE w:val="0"/>
        <w:autoSpaceDN w:val="0"/>
        <w:adjustRightInd w:val="0"/>
        <w:spacing w:line="276" w:lineRule="auto"/>
        <w:jc w:val="left"/>
        <w:rPr>
          <w:rFonts w:ascii="宋体" w:hAnsi="宋体"/>
          <w:color w:val="auto"/>
          <w:kern w:val="0"/>
          <w:szCs w:val="21"/>
          <w:u w:val="single"/>
        </w:rPr>
      </w:pPr>
      <w:r>
        <w:rPr>
          <w:rFonts w:hint="eastAsia" w:ascii="宋体" w:hAnsi="宋体" w:cs="宋体"/>
          <w:color w:val="auto"/>
          <w:kern w:val="0"/>
          <w:szCs w:val="21"/>
        </w:rPr>
        <w:t>甲方：</w:t>
      </w:r>
      <w:permStart w:id="59" w:edGrp="everyone"/>
      <w:r>
        <w:rPr>
          <w:rFonts w:hint="eastAsia" w:ascii="宋体" w:hAnsi="宋体"/>
          <w:color w:val="auto"/>
          <w:kern w:val="0"/>
          <w:szCs w:val="21"/>
          <w:u w:val="single"/>
        </w:rPr>
        <w:t xml:space="preserve">                          </w:t>
      </w:r>
      <w:permEnd w:id="59"/>
    </w:p>
    <w:p w14:paraId="213B0CFF">
      <w:pPr>
        <w:autoSpaceDE w:val="0"/>
        <w:autoSpaceDN w:val="0"/>
        <w:adjustRightInd w:val="0"/>
        <w:spacing w:line="276" w:lineRule="auto"/>
        <w:jc w:val="left"/>
        <w:rPr>
          <w:rFonts w:hint="eastAsia" w:ascii="宋体" w:hAnsi="宋体" w:cs="宋体"/>
          <w:color w:val="auto"/>
          <w:kern w:val="0"/>
          <w:szCs w:val="21"/>
          <w:u w:val="single"/>
          <w:lang w:eastAsia="zh-CN"/>
        </w:rPr>
      </w:pPr>
      <w:r>
        <w:rPr>
          <w:rFonts w:hint="eastAsia" w:ascii="宋体" w:hAnsi="宋体" w:cs="宋体"/>
          <w:color w:val="auto"/>
          <w:kern w:val="0"/>
          <w:szCs w:val="21"/>
        </w:rPr>
        <w:t>乙方：</w:t>
      </w:r>
      <w:r>
        <w:rPr>
          <w:rFonts w:hint="eastAsia" w:ascii="宋体" w:hAnsi="宋体" w:cs="宋体"/>
          <w:color w:val="auto"/>
          <w:kern w:val="0"/>
          <w:szCs w:val="21"/>
          <w:u w:val="single"/>
          <w:lang w:eastAsia="zh-CN"/>
        </w:rPr>
        <w:t>北京中质晟检测认证有限公司</w:t>
      </w:r>
    </w:p>
    <w:p w14:paraId="304A7E04">
      <w:pPr>
        <w:autoSpaceDE w:val="0"/>
        <w:autoSpaceDN w:val="0"/>
        <w:adjustRightInd w:val="0"/>
        <w:spacing w:line="276" w:lineRule="auto"/>
        <w:ind w:firstLine="420" w:firstLineChars="200"/>
        <w:jc w:val="left"/>
        <w:rPr>
          <w:rFonts w:ascii="宋体" w:hAnsi="宋体"/>
          <w:color w:val="auto"/>
          <w:kern w:val="0"/>
          <w:szCs w:val="21"/>
        </w:rPr>
      </w:pPr>
      <w:r>
        <w:rPr>
          <w:rFonts w:hint="eastAsia" w:ascii="宋体" w:hAnsi="宋体" w:cs="宋体"/>
          <w:color w:val="auto"/>
          <w:kern w:val="0"/>
          <w:szCs w:val="21"/>
        </w:rPr>
        <w:t>根据国家认证认可条例和认证人员行为准则以及本机构职业规范制度要求，并依据</w:t>
      </w:r>
      <w:r>
        <w:rPr>
          <w:rFonts w:ascii="宋体" w:hAnsi="宋体"/>
          <w:color w:val="auto"/>
          <w:kern w:val="0"/>
          <w:szCs w:val="21"/>
        </w:rPr>
        <w:t>2010</w:t>
      </w:r>
      <w:r>
        <w:rPr>
          <w:rFonts w:hint="eastAsia" w:ascii="宋体" w:hAnsi="宋体" w:cs="宋体"/>
          <w:color w:val="auto"/>
          <w:kern w:val="0"/>
          <w:szCs w:val="21"/>
        </w:rPr>
        <w:t>年</w:t>
      </w:r>
      <w:r>
        <w:rPr>
          <w:rFonts w:ascii="宋体" w:hAnsi="宋体"/>
          <w:color w:val="auto"/>
          <w:kern w:val="0"/>
          <w:szCs w:val="21"/>
        </w:rPr>
        <w:t>8</w:t>
      </w:r>
      <w:r>
        <w:rPr>
          <w:rFonts w:hint="eastAsia" w:ascii="宋体" w:hAnsi="宋体" w:cs="宋体"/>
          <w:color w:val="auto"/>
          <w:kern w:val="0"/>
          <w:szCs w:val="21"/>
        </w:rPr>
        <w:t>月</w:t>
      </w:r>
      <w:r>
        <w:rPr>
          <w:rFonts w:ascii="宋体" w:hAnsi="宋体"/>
          <w:color w:val="auto"/>
          <w:kern w:val="0"/>
          <w:szCs w:val="21"/>
        </w:rPr>
        <w:t>12</w:t>
      </w:r>
      <w:r>
        <w:rPr>
          <w:rFonts w:hint="eastAsia" w:ascii="宋体" w:hAnsi="宋体" w:cs="宋体"/>
          <w:color w:val="auto"/>
          <w:kern w:val="0"/>
          <w:szCs w:val="21"/>
        </w:rPr>
        <w:t>日由工业和信息化部、国家质量监督检验检疫总局、中国人民银行、国务院国有资产监督管理委员会、国家保密局、国家认证认可监督管理委员会联合发布《关于加强信息安全管理体系认证安全管理的通知》（工信部联协</w:t>
      </w:r>
      <w:r>
        <w:rPr>
          <w:rFonts w:ascii="宋体" w:hAnsi="宋体"/>
          <w:color w:val="auto"/>
          <w:kern w:val="0"/>
          <w:szCs w:val="21"/>
        </w:rPr>
        <w:t>[2010]394</w:t>
      </w:r>
      <w:r>
        <w:rPr>
          <w:rFonts w:hint="eastAsia" w:ascii="宋体" w:hAnsi="宋体" w:cs="宋体"/>
          <w:color w:val="auto"/>
          <w:kern w:val="0"/>
          <w:szCs w:val="21"/>
        </w:rPr>
        <w:t>号文），为确保认证审核工作的有效进行，特制定本保密协议。具体条款如下：</w:t>
      </w:r>
    </w:p>
    <w:p w14:paraId="34D11BB2">
      <w:pPr>
        <w:pStyle w:val="23"/>
        <w:numPr>
          <w:ilvl w:val="0"/>
          <w:numId w:val="1"/>
        </w:numPr>
        <w:spacing w:line="276" w:lineRule="auto"/>
        <w:ind w:firstLineChars="0"/>
        <w:rPr>
          <w:rFonts w:ascii="宋体" w:hAnsi="宋体"/>
          <w:color w:val="auto"/>
          <w:sz w:val="21"/>
          <w:szCs w:val="21"/>
        </w:rPr>
      </w:pPr>
      <w:r>
        <w:rPr>
          <w:rFonts w:hint="eastAsia" w:ascii="宋体" w:hAnsi="宋体"/>
          <w:color w:val="auto"/>
          <w:sz w:val="21"/>
          <w:szCs w:val="21"/>
        </w:rPr>
        <w:t>乙方已经严格制定完善的信息安全和保密管理制度，并将在审核过程中切实履行不泄漏、不扩散、不转让认证信息的义务，保证重要敏感信息非经甲方或相关监管部门同意不通过乙方出境；</w:t>
      </w:r>
    </w:p>
    <w:p w14:paraId="55205700">
      <w:pPr>
        <w:pStyle w:val="23"/>
        <w:numPr>
          <w:ilvl w:val="0"/>
          <w:numId w:val="1"/>
        </w:numPr>
        <w:spacing w:line="276" w:lineRule="auto"/>
        <w:ind w:firstLineChars="0"/>
        <w:rPr>
          <w:rFonts w:ascii="宋体" w:hAnsi="宋体"/>
          <w:color w:val="auto"/>
          <w:sz w:val="21"/>
          <w:szCs w:val="21"/>
        </w:rPr>
      </w:pPr>
      <w:r>
        <w:rPr>
          <w:rFonts w:hint="eastAsia" w:ascii="宋体" w:hAnsi="宋体"/>
          <w:color w:val="auto"/>
          <w:sz w:val="21"/>
          <w:szCs w:val="21"/>
        </w:rPr>
        <w:t>乙方审核组将严格遵守保密规定。审核组在现场审核过程中使用的甲方体系文件和资料原件，将在审核组撤离现场之前全部退还给甲方；除非为工作底稿留存之目的，乙方及其审核组不得索要、借阅、复印和保存甲方的非公开性文件资料。</w:t>
      </w:r>
    </w:p>
    <w:p w14:paraId="54B684F3">
      <w:pPr>
        <w:pStyle w:val="23"/>
        <w:numPr>
          <w:ilvl w:val="0"/>
          <w:numId w:val="1"/>
        </w:numPr>
        <w:spacing w:line="276" w:lineRule="auto"/>
        <w:ind w:firstLineChars="0"/>
        <w:rPr>
          <w:rFonts w:ascii="宋体" w:hAnsi="宋体"/>
          <w:color w:val="auto"/>
          <w:sz w:val="21"/>
          <w:szCs w:val="21"/>
        </w:rPr>
      </w:pPr>
      <w:r>
        <w:rPr>
          <w:rFonts w:hint="eastAsia" w:ascii="宋体" w:hAnsi="宋体"/>
          <w:color w:val="auto"/>
          <w:sz w:val="21"/>
          <w:szCs w:val="21"/>
        </w:rPr>
        <w:t>未经甲方的书面授权，乙方及其审核组不得向第三方透露甲方在技术、经济方面等方面的信息，但下列情况除外：</w:t>
      </w:r>
    </w:p>
    <w:p w14:paraId="791731F8">
      <w:pPr>
        <w:numPr>
          <w:ilvl w:val="0"/>
          <w:numId w:val="2"/>
        </w:numPr>
        <w:autoSpaceDE w:val="0"/>
        <w:autoSpaceDN w:val="0"/>
        <w:adjustRightInd w:val="0"/>
        <w:spacing w:line="276" w:lineRule="auto"/>
        <w:ind w:left="372" w:leftChars="177"/>
        <w:jc w:val="left"/>
        <w:rPr>
          <w:rFonts w:ascii="宋体" w:hAnsi="宋体"/>
          <w:color w:val="auto"/>
          <w:kern w:val="0"/>
          <w:szCs w:val="21"/>
        </w:rPr>
      </w:pPr>
      <w:r>
        <w:rPr>
          <w:rFonts w:hint="eastAsia" w:ascii="宋体" w:hAnsi="宋体" w:cs="宋体"/>
          <w:color w:val="auto"/>
          <w:kern w:val="0"/>
          <w:szCs w:val="21"/>
        </w:rPr>
        <w:t>在提供时已为公众所知的信息，或虽不为公众所知但已不再是秘密的信息；</w:t>
      </w:r>
    </w:p>
    <w:p w14:paraId="09E4F32E">
      <w:pPr>
        <w:numPr>
          <w:ilvl w:val="0"/>
          <w:numId w:val="2"/>
        </w:numPr>
        <w:autoSpaceDE w:val="0"/>
        <w:autoSpaceDN w:val="0"/>
        <w:adjustRightInd w:val="0"/>
        <w:spacing w:line="276" w:lineRule="auto"/>
        <w:ind w:left="372" w:leftChars="177"/>
        <w:jc w:val="left"/>
        <w:rPr>
          <w:rFonts w:ascii="宋体" w:hAnsi="宋体"/>
          <w:color w:val="auto"/>
          <w:kern w:val="0"/>
          <w:szCs w:val="21"/>
        </w:rPr>
      </w:pPr>
      <w:r>
        <w:rPr>
          <w:rFonts w:hint="eastAsia" w:ascii="宋体" w:hAnsi="宋体" w:cs="宋体"/>
          <w:color w:val="auto"/>
          <w:kern w:val="0"/>
          <w:szCs w:val="21"/>
        </w:rPr>
        <w:t>经甲方特别允许时；</w:t>
      </w:r>
    </w:p>
    <w:p w14:paraId="2F51D765">
      <w:pPr>
        <w:numPr>
          <w:ilvl w:val="0"/>
          <w:numId w:val="2"/>
        </w:numPr>
        <w:autoSpaceDE w:val="0"/>
        <w:autoSpaceDN w:val="0"/>
        <w:adjustRightInd w:val="0"/>
        <w:spacing w:line="276" w:lineRule="auto"/>
        <w:ind w:left="760" w:leftChars="177" w:hanging="388" w:hangingChars="185"/>
        <w:jc w:val="left"/>
        <w:rPr>
          <w:rFonts w:ascii="宋体" w:hAnsi="宋体"/>
          <w:color w:val="auto"/>
          <w:kern w:val="0"/>
          <w:szCs w:val="21"/>
        </w:rPr>
      </w:pPr>
      <w:r>
        <w:rPr>
          <w:rFonts w:hint="eastAsia" w:ascii="宋体" w:hAnsi="宋体" w:cs="宋体"/>
          <w:color w:val="auto"/>
          <w:kern w:val="0"/>
          <w:szCs w:val="21"/>
        </w:rPr>
        <w:t>乙方向其工作人员或专业顾问披露（因工作需要），但该等工作人员或专业顾问须被告知相关信息的保密性；</w:t>
      </w:r>
    </w:p>
    <w:p w14:paraId="71C1138E">
      <w:pPr>
        <w:numPr>
          <w:ilvl w:val="0"/>
          <w:numId w:val="2"/>
        </w:numPr>
        <w:autoSpaceDE w:val="0"/>
        <w:autoSpaceDN w:val="0"/>
        <w:adjustRightInd w:val="0"/>
        <w:spacing w:line="276" w:lineRule="auto"/>
        <w:ind w:left="760" w:leftChars="177" w:hanging="388" w:hangingChars="185"/>
        <w:jc w:val="left"/>
        <w:rPr>
          <w:rFonts w:ascii="宋体" w:hAnsi="宋体"/>
          <w:color w:val="auto"/>
          <w:kern w:val="0"/>
          <w:szCs w:val="21"/>
        </w:rPr>
      </w:pPr>
      <w:r>
        <w:rPr>
          <w:rFonts w:hint="eastAsia" w:ascii="宋体" w:hAnsi="宋体" w:cs="宋体"/>
          <w:color w:val="auto"/>
          <w:kern w:val="0"/>
          <w:szCs w:val="21"/>
        </w:rPr>
        <w:t>法律、国家主管部门或有管辖权的司法机构和仲裁机关做出判决、裁定、裁决等司法文书要求披露时，或乙方认为在诉讼、仲裁或监管机构的程序或调查中进行辩护或为提出索赔所需时，或因乙方认为为遵守监管义务所需时，做出披露或公告；</w:t>
      </w:r>
    </w:p>
    <w:p w14:paraId="171834EF">
      <w:pPr>
        <w:numPr>
          <w:ilvl w:val="0"/>
          <w:numId w:val="2"/>
        </w:numPr>
        <w:autoSpaceDE w:val="0"/>
        <w:autoSpaceDN w:val="0"/>
        <w:adjustRightInd w:val="0"/>
        <w:spacing w:line="276" w:lineRule="auto"/>
        <w:ind w:left="372" w:leftChars="177"/>
        <w:jc w:val="left"/>
        <w:rPr>
          <w:rFonts w:ascii="宋体" w:hAnsi="宋体"/>
          <w:color w:val="auto"/>
          <w:kern w:val="0"/>
          <w:szCs w:val="21"/>
        </w:rPr>
      </w:pPr>
      <w:r>
        <w:rPr>
          <w:rFonts w:hint="eastAsia" w:ascii="宋体" w:hAnsi="宋体" w:cs="宋体"/>
          <w:color w:val="auto"/>
          <w:kern w:val="0"/>
          <w:szCs w:val="21"/>
        </w:rPr>
        <w:t>法律法规另有要求时。</w:t>
      </w:r>
    </w:p>
    <w:p w14:paraId="16B38287">
      <w:pPr>
        <w:autoSpaceDE w:val="0"/>
        <w:autoSpaceDN w:val="0"/>
        <w:adjustRightInd w:val="0"/>
        <w:spacing w:line="276" w:lineRule="auto"/>
        <w:ind w:firstLine="420" w:firstLineChars="200"/>
        <w:jc w:val="left"/>
        <w:rPr>
          <w:rFonts w:ascii="宋体" w:hAnsi="宋体"/>
          <w:color w:val="auto"/>
          <w:kern w:val="0"/>
          <w:szCs w:val="21"/>
        </w:rPr>
      </w:pPr>
      <w:r>
        <w:rPr>
          <w:rFonts w:hint="eastAsia" w:ascii="宋体" w:hAnsi="宋体" w:cs="宋体"/>
          <w:color w:val="auto"/>
          <w:kern w:val="0"/>
          <w:szCs w:val="21"/>
        </w:rPr>
        <w:t>本协议任一条款的时效或废止，不影响其他条款及本协议整体的有效性。</w:t>
      </w:r>
    </w:p>
    <w:p w14:paraId="7FA33660">
      <w:pPr>
        <w:autoSpaceDE w:val="0"/>
        <w:autoSpaceDN w:val="0"/>
        <w:adjustRightInd w:val="0"/>
        <w:spacing w:line="276" w:lineRule="auto"/>
        <w:ind w:firstLine="420" w:firstLineChars="200"/>
        <w:jc w:val="left"/>
        <w:rPr>
          <w:rFonts w:ascii="宋体" w:hAnsi="宋体"/>
          <w:color w:val="auto"/>
          <w:kern w:val="0"/>
          <w:szCs w:val="21"/>
        </w:rPr>
      </w:pPr>
      <w:r>
        <w:rPr>
          <w:rFonts w:hint="eastAsia" w:ascii="宋体" w:hAnsi="宋体" w:cs="宋体"/>
          <w:color w:val="auto"/>
          <w:kern w:val="0"/>
          <w:szCs w:val="21"/>
        </w:rPr>
        <w:t>本协议期为双方业务关系续存期间至续存终止一年内。</w:t>
      </w:r>
    </w:p>
    <w:p w14:paraId="336A1010">
      <w:pPr>
        <w:autoSpaceDE w:val="0"/>
        <w:autoSpaceDN w:val="0"/>
        <w:adjustRightInd w:val="0"/>
        <w:spacing w:line="276" w:lineRule="auto"/>
        <w:ind w:firstLine="420" w:firstLineChars="200"/>
        <w:jc w:val="left"/>
        <w:rPr>
          <w:rFonts w:ascii="宋体" w:hAnsi="宋体"/>
          <w:color w:val="auto"/>
          <w:kern w:val="0"/>
          <w:szCs w:val="21"/>
        </w:rPr>
      </w:pPr>
      <w:r>
        <w:rPr>
          <w:rFonts w:hint="eastAsia" w:ascii="宋体" w:hAnsi="宋体" w:cs="宋体"/>
          <w:color w:val="auto"/>
          <w:kern w:val="0"/>
          <w:szCs w:val="21"/>
        </w:rPr>
        <w:t>本协议受中华人民共和国法律管辖和保护。</w:t>
      </w:r>
    </w:p>
    <w:p w14:paraId="06F71427">
      <w:pPr>
        <w:autoSpaceDE w:val="0"/>
        <w:autoSpaceDN w:val="0"/>
        <w:adjustRightInd w:val="0"/>
        <w:spacing w:line="276" w:lineRule="auto"/>
        <w:ind w:firstLine="420" w:firstLineChars="200"/>
        <w:jc w:val="left"/>
        <w:rPr>
          <w:rFonts w:ascii="宋体" w:hAnsi="宋体"/>
          <w:color w:val="auto"/>
          <w:kern w:val="0"/>
          <w:szCs w:val="21"/>
        </w:rPr>
      </w:pPr>
      <w:r>
        <w:rPr>
          <w:rFonts w:hint="eastAsia" w:ascii="宋体" w:hAnsi="宋体" w:cs="宋体"/>
          <w:color w:val="auto"/>
          <w:kern w:val="0"/>
          <w:szCs w:val="21"/>
        </w:rPr>
        <w:t>本协议项下任何争议应由双方协商解决，协商不成，应将争议提交北京仲裁委员会，按该会届时有效的仲裁规则进行仲裁。</w:t>
      </w:r>
    </w:p>
    <w:p w14:paraId="4FCCC394">
      <w:pPr>
        <w:autoSpaceDE w:val="0"/>
        <w:autoSpaceDN w:val="0"/>
        <w:adjustRightInd w:val="0"/>
        <w:spacing w:line="276" w:lineRule="auto"/>
        <w:jc w:val="left"/>
        <w:rPr>
          <w:rFonts w:ascii="宋体" w:hAnsi="宋体"/>
          <w:color w:val="auto"/>
          <w:kern w:val="0"/>
          <w:szCs w:val="21"/>
        </w:rPr>
      </w:pPr>
      <w:r>
        <w:rPr>
          <w:rFonts w:hint="eastAsia" w:ascii="宋体" w:hAnsi="宋体" w:cs="宋体"/>
          <w:color w:val="auto"/>
          <w:kern w:val="0"/>
          <w:szCs w:val="21"/>
        </w:rPr>
        <w:t>4、告知乙方在接触相关信息时应满足哪些要求，包括法律要求、相关方的要求和客户自身的要求；或因包含保密性或敏感性信息而不能提供给审核组的相关信息。</w:t>
      </w:r>
    </w:p>
    <w:p w14:paraId="7D77F36E">
      <w:pPr>
        <w:autoSpaceDE w:val="0"/>
        <w:autoSpaceDN w:val="0"/>
        <w:adjustRightInd w:val="0"/>
        <w:spacing w:line="276"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本协议一式两（</w:t>
      </w:r>
      <w:r>
        <w:rPr>
          <w:rFonts w:ascii="宋体" w:hAnsi="宋体"/>
          <w:color w:val="auto"/>
          <w:kern w:val="0"/>
          <w:szCs w:val="21"/>
        </w:rPr>
        <w:t>2</w:t>
      </w:r>
      <w:r>
        <w:rPr>
          <w:rFonts w:hint="eastAsia" w:ascii="宋体" w:hAnsi="宋体" w:cs="宋体"/>
          <w:color w:val="auto"/>
          <w:kern w:val="0"/>
          <w:szCs w:val="21"/>
        </w:rPr>
        <w:t>）份，双方各执壹（</w:t>
      </w:r>
      <w:r>
        <w:rPr>
          <w:rFonts w:ascii="宋体" w:hAnsi="宋体"/>
          <w:color w:val="auto"/>
          <w:kern w:val="0"/>
          <w:szCs w:val="21"/>
        </w:rPr>
        <w:t>1</w:t>
      </w:r>
      <w:r>
        <w:rPr>
          <w:rFonts w:hint="eastAsia" w:ascii="宋体" w:hAnsi="宋体" w:cs="宋体"/>
          <w:color w:val="auto"/>
          <w:kern w:val="0"/>
          <w:szCs w:val="21"/>
        </w:rPr>
        <w:t>）份。</w:t>
      </w:r>
    </w:p>
    <w:p w14:paraId="7DC2CE06">
      <w:pPr>
        <w:autoSpaceDE w:val="0"/>
        <w:autoSpaceDN w:val="0"/>
        <w:adjustRightInd w:val="0"/>
        <w:spacing w:line="276" w:lineRule="auto"/>
        <w:ind w:firstLine="420" w:firstLineChars="200"/>
        <w:jc w:val="left"/>
        <w:rPr>
          <w:rFonts w:ascii="宋体" w:hAnsi="宋体" w:cs="宋体"/>
          <w:color w:val="auto"/>
          <w:kern w:val="0"/>
          <w:szCs w:val="21"/>
        </w:rPr>
      </w:pPr>
    </w:p>
    <w:p w14:paraId="3566C12E">
      <w:pPr>
        <w:autoSpaceDE w:val="0"/>
        <w:autoSpaceDN w:val="0"/>
        <w:adjustRightInd w:val="0"/>
        <w:spacing w:line="276" w:lineRule="auto"/>
        <w:ind w:firstLine="420" w:firstLineChars="200"/>
        <w:jc w:val="left"/>
        <w:rPr>
          <w:rFonts w:ascii="宋体" w:hAnsi="宋体" w:cs="宋体"/>
          <w:color w:val="auto"/>
          <w:kern w:val="0"/>
          <w:szCs w:val="21"/>
        </w:rPr>
      </w:pPr>
    </w:p>
    <w:p w14:paraId="420DC512">
      <w:pPr>
        <w:autoSpaceDE w:val="0"/>
        <w:autoSpaceDN w:val="0"/>
        <w:adjustRightInd w:val="0"/>
        <w:spacing w:line="276" w:lineRule="auto"/>
        <w:ind w:firstLine="420" w:firstLineChars="200"/>
        <w:jc w:val="left"/>
        <w:rPr>
          <w:rFonts w:ascii="宋体" w:hAnsi="宋体"/>
          <w:color w:val="auto"/>
          <w:kern w:val="0"/>
          <w:szCs w:val="21"/>
        </w:rPr>
      </w:pPr>
    </w:p>
    <w:p w14:paraId="254E28B2">
      <w:pPr>
        <w:autoSpaceDE w:val="0"/>
        <w:autoSpaceDN w:val="0"/>
        <w:adjustRightInd w:val="0"/>
        <w:spacing w:line="276" w:lineRule="auto"/>
        <w:jc w:val="left"/>
        <w:rPr>
          <w:rFonts w:ascii="宋体" w:hAnsi="宋体" w:cs="宋体"/>
          <w:color w:val="auto"/>
          <w:kern w:val="0"/>
          <w:szCs w:val="21"/>
        </w:rPr>
        <w:sectPr>
          <w:headerReference r:id="rId12" w:type="first"/>
          <w:footerReference r:id="rId15" w:type="first"/>
          <w:headerReference r:id="rId10" w:type="default"/>
          <w:footerReference r:id="rId13" w:type="default"/>
          <w:headerReference r:id="rId11" w:type="even"/>
          <w:footerReference r:id="rId14" w:type="even"/>
          <w:pgSz w:w="11906" w:h="16838"/>
          <w:pgMar w:top="1440" w:right="1077" w:bottom="1134" w:left="1077" w:header="885" w:footer="590" w:gutter="0"/>
          <w:pgNumType w:fmt="decimal"/>
          <w:cols w:space="720" w:num="1"/>
          <w:docGrid w:type="lines" w:linePitch="312" w:charSpace="0"/>
        </w:sectPr>
      </w:pPr>
    </w:p>
    <w:p w14:paraId="427BF062">
      <w:pPr>
        <w:autoSpaceDE w:val="0"/>
        <w:autoSpaceDN w:val="0"/>
        <w:adjustRightInd w:val="0"/>
        <w:spacing w:line="276" w:lineRule="auto"/>
        <w:jc w:val="left"/>
        <w:rPr>
          <w:rFonts w:ascii="宋体" w:hAnsi="宋体" w:cs="宋体"/>
          <w:color w:val="auto"/>
          <w:kern w:val="0"/>
          <w:szCs w:val="21"/>
        </w:rPr>
      </w:pPr>
      <w:r>
        <w:rPr>
          <w:rFonts w:hint="eastAsia" w:ascii="宋体" w:hAnsi="宋体" w:cs="宋体"/>
          <w:color w:val="auto"/>
          <w:kern w:val="0"/>
          <w:szCs w:val="21"/>
        </w:rPr>
        <w:t>甲方：</w:t>
      </w:r>
      <w:permStart w:id="60" w:edGrp="everyone"/>
      <w:r>
        <w:rPr>
          <w:rFonts w:hint="eastAsia" w:ascii="宋体" w:hAnsi="宋体"/>
          <w:color w:val="auto"/>
          <w:szCs w:val="21"/>
        </w:rPr>
        <w:t>（合同章）</w:t>
      </w:r>
    </w:p>
    <w:permEnd w:id="60"/>
    <w:p w14:paraId="27C1B087">
      <w:pPr>
        <w:autoSpaceDE w:val="0"/>
        <w:autoSpaceDN w:val="0"/>
        <w:adjustRightInd w:val="0"/>
        <w:spacing w:line="276" w:lineRule="auto"/>
        <w:jc w:val="left"/>
        <w:rPr>
          <w:rFonts w:ascii="宋体" w:hAnsi="宋体" w:cs="宋体"/>
          <w:color w:val="auto"/>
          <w:kern w:val="0"/>
          <w:szCs w:val="21"/>
        </w:rPr>
      </w:pPr>
      <w:r>
        <w:rPr>
          <w:rFonts w:hint="eastAsia" w:ascii="宋体" w:hAnsi="宋体" w:cs="宋体"/>
          <w:color w:val="auto"/>
          <w:kern w:val="0"/>
          <w:szCs w:val="21"/>
        </w:rPr>
        <w:t>时间：</w:t>
      </w:r>
      <w:permStart w:id="61" w:edGrp="everyone"/>
    </w:p>
    <w:permEnd w:id="61"/>
    <w:p w14:paraId="4C9DE51D">
      <w:pPr>
        <w:autoSpaceDE w:val="0"/>
        <w:autoSpaceDN w:val="0"/>
        <w:adjustRightInd w:val="0"/>
        <w:spacing w:line="276" w:lineRule="auto"/>
        <w:jc w:val="left"/>
        <w:rPr>
          <w:rFonts w:ascii="宋体" w:hAnsi="宋体" w:cs="宋体"/>
          <w:color w:val="auto"/>
          <w:kern w:val="0"/>
          <w:szCs w:val="21"/>
        </w:rPr>
      </w:pPr>
    </w:p>
    <w:p w14:paraId="606B5A9B">
      <w:pPr>
        <w:autoSpaceDE w:val="0"/>
        <w:autoSpaceDN w:val="0"/>
        <w:adjustRightInd w:val="0"/>
        <w:spacing w:line="276" w:lineRule="auto"/>
        <w:jc w:val="left"/>
        <w:rPr>
          <w:rFonts w:ascii="宋体" w:hAnsi="宋体" w:cs="宋体"/>
          <w:color w:val="auto"/>
          <w:kern w:val="0"/>
          <w:szCs w:val="21"/>
        </w:rPr>
      </w:pPr>
    </w:p>
    <w:p w14:paraId="70F50E0A">
      <w:pPr>
        <w:autoSpaceDE w:val="0"/>
        <w:autoSpaceDN w:val="0"/>
        <w:adjustRightInd w:val="0"/>
        <w:spacing w:line="276" w:lineRule="auto"/>
        <w:jc w:val="left"/>
        <w:rPr>
          <w:rFonts w:ascii="宋体" w:hAnsi="宋体" w:cs="宋体e眠副浡渀."/>
          <w:color w:val="auto"/>
          <w:kern w:val="0"/>
          <w:szCs w:val="21"/>
        </w:rPr>
      </w:pPr>
      <w:r>
        <w:rPr>
          <w:rFonts w:hint="eastAsia" w:ascii="宋体" w:hAnsi="宋体" w:cs="宋体"/>
          <w:color w:val="auto"/>
          <w:kern w:val="0"/>
          <w:szCs w:val="21"/>
        </w:rPr>
        <w:t>乙方</w:t>
      </w:r>
      <w:bookmarkStart w:id="5" w:name="_GoBack"/>
      <w:bookmarkEnd w:id="5"/>
      <w:r>
        <w:rPr>
          <w:rFonts w:hint="eastAsia" w:ascii="宋体" w:hAnsi="宋体" w:cs="宋体"/>
          <w:color w:val="auto"/>
          <w:kern w:val="0"/>
          <w:szCs w:val="21"/>
        </w:rPr>
        <w:t>：</w:t>
      </w:r>
      <w:r>
        <w:rPr>
          <w:rFonts w:hint="eastAsia" w:ascii="宋体" w:hAnsi="宋体" w:cs="宋体"/>
          <w:color w:val="auto"/>
          <w:kern w:val="0"/>
          <w:szCs w:val="21"/>
          <w:lang w:eastAsia="zh-CN"/>
        </w:rPr>
        <w:t>北京中质晟检测认证有限公司</w:t>
      </w:r>
      <w:r>
        <w:rPr>
          <w:rFonts w:hint="eastAsia" w:ascii="宋体" w:hAnsi="宋体"/>
          <w:color w:val="auto"/>
          <w:szCs w:val="21"/>
        </w:rPr>
        <w:t>（合同章）</w:t>
      </w:r>
    </w:p>
    <w:p w14:paraId="042884C1">
      <w:pPr>
        <w:autoSpaceDE w:val="0"/>
        <w:autoSpaceDN w:val="0"/>
        <w:adjustRightInd w:val="0"/>
        <w:spacing w:line="276" w:lineRule="auto"/>
        <w:jc w:val="left"/>
        <w:rPr>
          <w:rFonts w:ascii="宋体" w:hAnsi="宋体"/>
          <w:color w:val="auto"/>
          <w:kern w:val="0"/>
          <w:szCs w:val="21"/>
        </w:rPr>
      </w:pPr>
      <w:r>
        <w:rPr>
          <w:rFonts w:hint="eastAsia" w:ascii="宋体" w:hAnsi="宋体" w:cs="宋体"/>
          <w:color w:val="auto"/>
          <w:kern w:val="0"/>
          <w:szCs w:val="21"/>
        </w:rPr>
        <w:t>时间：</w:t>
      </w:r>
      <w:permStart w:id="62" w:edGrp="everyone"/>
      <w:permEnd w:id="62"/>
    </w:p>
    <w:sectPr>
      <w:type w:val="continuous"/>
      <w:pgSz w:w="11906" w:h="16838"/>
      <w:pgMar w:top="1440" w:right="1077" w:bottom="1134" w:left="1077" w:header="885" w:footer="590" w:gutter="0"/>
      <w:pgNumType w:fmt="decimal"/>
      <w:cols w:space="720"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华文楷体">
    <w:altName w:val="宋体"/>
    <w:panose1 w:val="02010600040101010101"/>
    <w:charset w:val="86"/>
    <w:family w:val="auto"/>
    <w:pitch w:val="default"/>
    <w:sig w:usb0="00000000" w:usb1="0000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Arial Black">
    <w:panose1 w:val="020B0A04020102020204"/>
    <w:charset w:val="00"/>
    <w:family w:val="swiss"/>
    <w:pitch w:val="default"/>
    <w:sig w:usb0="A00002AF" w:usb1="400078FB" w:usb2="00000000" w:usb3="00000000" w:csb0="6000009F" w:csb1="DFD70000"/>
  </w:font>
  <w:font w:name="宋体e眠副浡渀.">
    <w:altName w:val="宋体"/>
    <w:panose1 w:val="00000000000000000000"/>
    <w:charset w:val="00"/>
    <w:family w:val="roman"/>
    <w:pitch w:val="default"/>
    <w:sig w:usb0="00000000" w:usb1="00000000" w:usb2="00000010" w:usb3="00000000" w:csb0="00040000" w:csb1="00000000"/>
  </w:font>
  <w:font w:name="黑体e眠副浡渀.">
    <w:altName w:val="微软雅黑"/>
    <w:panose1 w:val="00000000000000000000"/>
    <w:charset w:val="86"/>
    <w:family w:val="swiss"/>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AA2CE">
    <w:pPr>
      <w:spacing w:line="204" w:lineRule="auto"/>
      <w:rPr>
        <w:rFonts w:ascii="华文楷体" w:hAnsi="华文楷体" w:eastAsia="华文楷体" w:cs="华文楷体"/>
        <w:spacing w:val="-1"/>
        <w:position w:val="5"/>
        <w:sz w:val="18"/>
        <w:szCs w:val="18"/>
      </w:rPr>
    </w:pPr>
  </w:p>
  <w:p w14:paraId="60F4A39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FC835">
    <w:pPr>
      <w:pStyle w:val="7"/>
      <w:framePr w:wrap="around" w:vAnchor="text" w:hAnchor="margin" w:xAlign="center" w:y="1"/>
      <w:rPr>
        <w:rStyle w:val="15"/>
      </w:rPr>
    </w:pPr>
    <w:r>
      <w:fldChar w:fldCharType="begin"/>
    </w:r>
    <w:r>
      <w:rPr>
        <w:rStyle w:val="15"/>
      </w:rPr>
      <w:instrText xml:space="preserve">PAGE  </w:instrText>
    </w:r>
    <w:r>
      <w:fldChar w:fldCharType="end"/>
    </w:r>
  </w:p>
  <w:p w14:paraId="3F70629C">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48E0D">
    <w:pPr>
      <w:pStyle w:val="7"/>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23D5FD">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23D5FD">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r>
      <w:rPr>
        <w:rFonts w:hint="eastAsia" w:ascii="Arial Black" w:hAnsi="Arial Black"/>
        <w:lang w:val="en-US" w:eastAsia="zh-CN"/>
      </w:rPr>
      <w:t>CX0901R02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0CCF4">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E0E7A4">
                          <w:pPr>
                            <w:pStyle w:val="7"/>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DE0E7A4">
                    <w:pPr>
                      <w:pStyle w:val="7"/>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B9A393">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3913D">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C7C28">
    <w:pPr>
      <w:pStyle w:val="10"/>
      <w:spacing w:before="0" w:after="0" w:line="0" w:lineRule="atLeast"/>
      <w:jc w:val="both"/>
      <w:rPr>
        <w:rFonts w:ascii="宋体" w:hAnsi="宋体" w:eastAsia="宋体" w:cs="宋体"/>
        <w:sz w:val="30"/>
        <w:szCs w:val="30"/>
      </w:rPr>
    </w:pPr>
    <w:r>
      <w:rPr>
        <w:sz w:val="18"/>
      </w:rPr>
      <w:drawing>
        <wp:anchor distT="0" distB="0" distL="114300" distR="114300" simplePos="0" relativeHeight="251663360" behindDoc="1" locked="0" layoutInCell="1" allowOverlap="1">
          <wp:simplePos x="0" y="0"/>
          <wp:positionH relativeFrom="margin">
            <wp:align>center</wp:align>
          </wp:positionH>
          <wp:positionV relativeFrom="margin">
            <wp:align>center</wp:align>
          </wp:positionV>
          <wp:extent cx="5274310" cy="5018405"/>
          <wp:effectExtent l="0" t="0" r="2540" b="10795"/>
          <wp:wrapNone/>
          <wp:docPr id="24" name="WordPictureWatermark39623" descr="CQE1033A0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ordPictureWatermark39623" descr="CQE1033A0R0.JPG"/>
                  <pic:cNvPicPr>
                    <a:picLocks noChangeAspect="1"/>
                  </pic:cNvPicPr>
                </pic:nvPicPr>
                <pic:blipFill>
                  <a:blip r:embed="rId1">
                    <a:lum bright="69998" contrast="-70001"/>
                  </a:blip>
                  <a:stretch>
                    <a:fillRect/>
                  </a:stretch>
                </pic:blipFill>
                <pic:spPr>
                  <a:xfrm>
                    <a:off x="0" y="0"/>
                    <a:ext cx="5274310" cy="501840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A9D5">
    <w:pPr>
      <w:pStyle w:val="8"/>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4340225" cy="4218305"/>
          <wp:effectExtent l="0" t="0" r="3175" b="10795"/>
          <wp:wrapNone/>
          <wp:docPr id="1400291180" name="WordPictureWatermark352213282" descr="中交远航--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291180" name="WordPictureWatermark352213282" descr="中交远航--logo"/>
                  <pic:cNvPicPr>
                    <a:picLocks noChangeAspect="1"/>
                  </pic:cNvPicPr>
                </pic:nvPicPr>
                <pic:blipFill>
                  <a:blip r:embed="rId1">
                    <a:lum bright="70001" contrast="-70000"/>
                  </a:blip>
                  <a:stretch>
                    <a:fillRect/>
                  </a:stretch>
                </pic:blipFill>
                <pic:spPr>
                  <a:xfrm>
                    <a:off x="0" y="0"/>
                    <a:ext cx="4340225" cy="421830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1EAFF">
    <w:pPr>
      <w:pStyle w:val="8"/>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4340225" cy="4218305"/>
          <wp:effectExtent l="0" t="0" r="3175" b="10795"/>
          <wp:wrapNone/>
          <wp:docPr id="1595897091" name="WordPictureWatermark352213281" descr="中交远航--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897091" name="WordPictureWatermark352213281" descr="中交远航--logo"/>
                  <pic:cNvPicPr>
                    <a:picLocks noChangeAspect="1"/>
                  </pic:cNvPicPr>
                </pic:nvPicPr>
                <pic:blipFill>
                  <a:blip r:embed="rId1">
                    <a:lum bright="70001" contrast="-70000"/>
                  </a:blip>
                  <a:stretch>
                    <a:fillRect/>
                  </a:stretch>
                </pic:blipFill>
                <pic:spPr>
                  <a:xfrm>
                    <a:off x="0" y="0"/>
                    <a:ext cx="4340225" cy="4218305"/>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1CA54">
    <w:pPr>
      <w:pStyle w:val="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A3E2F">
    <w:pPr>
      <w:pStyle w:val="8"/>
    </w:pPr>
    <w:bookmarkStart w:id="3" w:name="_Hlk175562127"/>
    <w:bookmarkStart w:id="4" w:name="_Hlk175562128"/>
    <w:r>
      <w:rPr>
        <w:rFonts w:hint="eastAsia"/>
      </w:rPr>
      <w:t>此保密协议适用于（ISMS/</w:t>
    </w:r>
    <w:r>
      <w:t>ITSMS/PI</w:t>
    </w:r>
    <w:r>
      <w:rPr>
        <w:rFonts w:hint="eastAsia"/>
      </w:rPr>
      <w:t>MS</w:t>
    </w:r>
    <w:r>
      <w:t>/CSI</w:t>
    </w:r>
    <w:r>
      <w:rPr>
        <w:rFonts w:hint="eastAsia"/>
      </w:rPr>
      <w:t>SMS</w:t>
    </w:r>
    <w:r>
      <w:t>/CPI</w:t>
    </w:r>
    <w:r>
      <w:rPr>
        <w:rFonts w:hint="eastAsia"/>
      </w:rPr>
      <w:t>SMS）管理体系认证</w:t>
    </w:r>
  </w:p>
  <w:bookmarkEnd w:id="3"/>
  <w:bookmarkEnd w:id="4"/>
  <w:p w14:paraId="4670570F">
    <w:pPr>
      <w:pStyle w:val="8"/>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4D989">
    <w:pPr>
      <w:pStyle w:val="8"/>
    </w:pPr>
    <w: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4340225" cy="4218305"/>
          <wp:effectExtent l="0" t="0" r="3175" b="10795"/>
          <wp:wrapNone/>
          <wp:docPr id="5" name="WordPictureWatermark352213285" descr="中交远航--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52213285" descr="中交远航--logo"/>
                  <pic:cNvPicPr>
                    <a:picLocks noChangeAspect="1"/>
                  </pic:cNvPicPr>
                </pic:nvPicPr>
                <pic:blipFill>
                  <a:blip r:embed="rId1">
                    <a:lum bright="70001" contrast="-70000"/>
                  </a:blip>
                  <a:stretch>
                    <a:fillRect/>
                  </a:stretch>
                </pic:blipFill>
                <pic:spPr>
                  <a:xfrm>
                    <a:off x="0" y="0"/>
                    <a:ext cx="4340225" cy="4218305"/>
                  </a:xfrm>
                  <a:prstGeom prst="rect">
                    <a:avLst/>
                  </a:prstGeom>
                  <a:noFill/>
                  <a:ln>
                    <a:noFill/>
                  </a:ln>
                </pic:spPr>
              </pic:pic>
            </a:graphicData>
          </a:graphic>
        </wp:anchor>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2B02A">
    <w:pPr>
      <w:pStyle w:val="8"/>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4340225" cy="4218305"/>
          <wp:effectExtent l="0" t="0" r="3175" b="10795"/>
          <wp:wrapNone/>
          <wp:docPr id="4" name="WordPictureWatermark352213284" descr="中交远航--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52213284" descr="中交远航--logo"/>
                  <pic:cNvPicPr>
                    <a:picLocks noChangeAspect="1"/>
                  </pic:cNvPicPr>
                </pic:nvPicPr>
                <pic:blipFill>
                  <a:blip r:embed="rId1">
                    <a:lum bright="70001" contrast="-70000"/>
                  </a:blip>
                  <a:stretch>
                    <a:fillRect/>
                  </a:stretch>
                </pic:blipFill>
                <pic:spPr>
                  <a:xfrm>
                    <a:off x="0" y="0"/>
                    <a:ext cx="4340225" cy="421830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D30886"/>
    <w:multiLevelType w:val="multilevel"/>
    <w:tmpl w:val="02D30886"/>
    <w:lvl w:ilvl="0" w:tentative="0">
      <w:start w:val="1"/>
      <w:numFmt w:val="bullet"/>
      <w:lvlText w:val=""/>
      <w:lvlJc w:val="left"/>
      <w:rPr>
        <w:rFonts w:hint="default" w:ascii="Wingdings" w:hAnsi="Wingdings"/>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67FE4046"/>
    <w:multiLevelType w:val="multilevel"/>
    <w:tmpl w:val="67FE404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Full" w:cryptAlgorithmClass="hash" w:cryptAlgorithmType="typeAny" w:cryptAlgorithmSid="4" w:cryptSpinCount="0" w:hash="1mCtlbbpq1jRLKOABC1rVknwS3g=" w:salt="11ihHttbZUnYcIXNeT4udQ=="/>
  <w:defaultTabStop w:val="420"/>
  <w:drawingGridHorizontalSpacing w:val="105"/>
  <w:drawingGridVerticalSpacing w:val="156"/>
  <w:noPunctuationKerning w:val="1"/>
  <w:characterSpacingControl w:val="doNotCompress"/>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F81"/>
    <w:rsid w:val="00000F4B"/>
    <w:rsid w:val="00001C2E"/>
    <w:rsid w:val="00001DF8"/>
    <w:rsid w:val="0000289D"/>
    <w:rsid w:val="0001151A"/>
    <w:rsid w:val="0001625C"/>
    <w:rsid w:val="000171CE"/>
    <w:rsid w:val="000202A8"/>
    <w:rsid w:val="00022EAD"/>
    <w:rsid w:val="00022F73"/>
    <w:rsid w:val="00027231"/>
    <w:rsid w:val="0003214F"/>
    <w:rsid w:val="00036670"/>
    <w:rsid w:val="00037C4B"/>
    <w:rsid w:val="0004282B"/>
    <w:rsid w:val="0004418B"/>
    <w:rsid w:val="000445AB"/>
    <w:rsid w:val="00044656"/>
    <w:rsid w:val="0004647B"/>
    <w:rsid w:val="00051EEF"/>
    <w:rsid w:val="00054CE9"/>
    <w:rsid w:val="00054F81"/>
    <w:rsid w:val="000554D9"/>
    <w:rsid w:val="00055E57"/>
    <w:rsid w:val="00056E0A"/>
    <w:rsid w:val="00061048"/>
    <w:rsid w:val="000663A6"/>
    <w:rsid w:val="000668A0"/>
    <w:rsid w:val="00070525"/>
    <w:rsid w:val="00071929"/>
    <w:rsid w:val="00074854"/>
    <w:rsid w:val="00076EB9"/>
    <w:rsid w:val="00077C88"/>
    <w:rsid w:val="00077E29"/>
    <w:rsid w:val="000810A0"/>
    <w:rsid w:val="00084EBD"/>
    <w:rsid w:val="00087ED0"/>
    <w:rsid w:val="00087EFB"/>
    <w:rsid w:val="00091F8F"/>
    <w:rsid w:val="0009282C"/>
    <w:rsid w:val="00092932"/>
    <w:rsid w:val="000A0E29"/>
    <w:rsid w:val="000A2BB0"/>
    <w:rsid w:val="000A5586"/>
    <w:rsid w:val="000B05BB"/>
    <w:rsid w:val="000B2010"/>
    <w:rsid w:val="000B2725"/>
    <w:rsid w:val="000B781F"/>
    <w:rsid w:val="000D6B40"/>
    <w:rsid w:val="000D6B65"/>
    <w:rsid w:val="000E37A8"/>
    <w:rsid w:val="000E6BD4"/>
    <w:rsid w:val="000F0D86"/>
    <w:rsid w:val="000F3604"/>
    <w:rsid w:val="000F3D46"/>
    <w:rsid w:val="00100457"/>
    <w:rsid w:val="00103752"/>
    <w:rsid w:val="001070D0"/>
    <w:rsid w:val="0010760E"/>
    <w:rsid w:val="00111FD4"/>
    <w:rsid w:val="0011282C"/>
    <w:rsid w:val="00121EF2"/>
    <w:rsid w:val="001265E0"/>
    <w:rsid w:val="00131BB5"/>
    <w:rsid w:val="00131F86"/>
    <w:rsid w:val="00132349"/>
    <w:rsid w:val="001329FB"/>
    <w:rsid w:val="001356BA"/>
    <w:rsid w:val="00141068"/>
    <w:rsid w:val="00141113"/>
    <w:rsid w:val="0014339C"/>
    <w:rsid w:val="00144E25"/>
    <w:rsid w:val="00145AD6"/>
    <w:rsid w:val="001516EF"/>
    <w:rsid w:val="00161269"/>
    <w:rsid w:val="00162D33"/>
    <w:rsid w:val="0016789C"/>
    <w:rsid w:val="00171974"/>
    <w:rsid w:val="00173CB0"/>
    <w:rsid w:val="00180196"/>
    <w:rsid w:val="00182D1E"/>
    <w:rsid w:val="001830B8"/>
    <w:rsid w:val="00183B85"/>
    <w:rsid w:val="00185DFE"/>
    <w:rsid w:val="00193445"/>
    <w:rsid w:val="001A0090"/>
    <w:rsid w:val="001A149C"/>
    <w:rsid w:val="001A33FF"/>
    <w:rsid w:val="001A41CB"/>
    <w:rsid w:val="001A7584"/>
    <w:rsid w:val="001B3E6D"/>
    <w:rsid w:val="001B7C91"/>
    <w:rsid w:val="001C128C"/>
    <w:rsid w:val="001C44C9"/>
    <w:rsid w:val="001D0508"/>
    <w:rsid w:val="001D0E6C"/>
    <w:rsid w:val="001D27C5"/>
    <w:rsid w:val="001D311F"/>
    <w:rsid w:val="001D50D1"/>
    <w:rsid w:val="001D540A"/>
    <w:rsid w:val="001E1E9B"/>
    <w:rsid w:val="001E4004"/>
    <w:rsid w:val="001E402B"/>
    <w:rsid w:val="001E60E3"/>
    <w:rsid w:val="001E6770"/>
    <w:rsid w:val="001F5FA7"/>
    <w:rsid w:val="002020F4"/>
    <w:rsid w:val="002113FD"/>
    <w:rsid w:val="0021269B"/>
    <w:rsid w:val="0021359D"/>
    <w:rsid w:val="00222194"/>
    <w:rsid w:val="00223797"/>
    <w:rsid w:val="00230D9C"/>
    <w:rsid w:val="00231DEE"/>
    <w:rsid w:val="00232864"/>
    <w:rsid w:val="00245FFF"/>
    <w:rsid w:val="002468C2"/>
    <w:rsid w:val="00247183"/>
    <w:rsid w:val="0025007C"/>
    <w:rsid w:val="00251649"/>
    <w:rsid w:val="0026158D"/>
    <w:rsid w:val="0027343C"/>
    <w:rsid w:val="0027461D"/>
    <w:rsid w:val="002750FA"/>
    <w:rsid w:val="00282F15"/>
    <w:rsid w:val="002A0E01"/>
    <w:rsid w:val="002A473C"/>
    <w:rsid w:val="002A4FE5"/>
    <w:rsid w:val="002B1F5A"/>
    <w:rsid w:val="002B4EC6"/>
    <w:rsid w:val="002B598E"/>
    <w:rsid w:val="002B7100"/>
    <w:rsid w:val="002C5606"/>
    <w:rsid w:val="002C70C7"/>
    <w:rsid w:val="002D15F0"/>
    <w:rsid w:val="002D19B4"/>
    <w:rsid w:val="002D3819"/>
    <w:rsid w:val="002D6ABC"/>
    <w:rsid w:val="002D782F"/>
    <w:rsid w:val="002E0D2D"/>
    <w:rsid w:val="002E70A9"/>
    <w:rsid w:val="002F0938"/>
    <w:rsid w:val="002F1888"/>
    <w:rsid w:val="002F5650"/>
    <w:rsid w:val="00300CCB"/>
    <w:rsid w:val="0030481E"/>
    <w:rsid w:val="00305703"/>
    <w:rsid w:val="00311A01"/>
    <w:rsid w:val="00314044"/>
    <w:rsid w:val="0031467C"/>
    <w:rsid w:val="00316C52"/>
    <w:rsid w:val="00317305"/>
    <w:rsid w:val="00323A14"/>
    <w:rsid w:val="00323FA3"/>
    <w:rsid w:val="00324F5F"/>
    <w:rsid w:val="00326D97"/>
    <w:rsid w:val="00330013"/>
    <w:rsid w:val="003336C7"/>
    <w:rsid w:val="00335892"/>
    <w:rsid w:val="00343EB2"/>
    <w:rsid w:val="003459EB"/>
    <w:rsid w:val="00350DBD"/>
    <w:rsid w:val="00350EB5"/>
    <w:rsid w:val="003556BD"/>
    <w:rsid w:val="00361197"/>
    <w:rsid w:val="003634A3"/>
    <w:rsid w:val="0037240B"/>
    <w:rsid w:val="00373DC6"/>
    <w:rsid w:val="00375953"/>
    <w:rsid w:val="00380DA2"/>
    <w:rsid w:val="00381933"/>
    <w:rsid w:val="003853C7"/>
    <w:rsid w:val="00387112"/>
    <w:rsid w:val="003927BA"/>
    <w:rsid w:val="0039281A"/>
    <w:rsid w:val="003970F7"/>
    <w:rsid w:val="003A2704"/>
    <w:rsid w:val="003A3946"/>
    <w:rsid w:val="003A4188"/>
    <w:rsid w:val="003B437F"/>
    <w:rsid w:val="003B5ADE"/>
    <w:rsid w:val="003B6A83"/>
    <w:rsid w:val="003B7F58"/>
    <w:rsid w:val="003C0542"/>
    <w:rsid w:val="003C0B97"/>
    <w:rsid w:val="003C103B"/>
    <w:rsid w:val="003C5F47"/>
    <w:rsid w:val="003C7B99"/>
    <w:rsid w:val="003D1752"/>
    <w:rsid w:val="003D2264"/>
    <w:rsid w:val="003D2E19"/>
    <w:rsid w:val="003E05CD"/>
    <w:rsid w:val="003E20D6"/>
    <w:rsid w:val="003E44B8"/>
    <w:rsid w:val="003F7BCE"/>
    <w:rsid w:val="00407C30"/>
    <w:rsid w:val="0041359F"/>
    <w:rsid w:val="004158C4"/>
    <w:rsid w:val="004203A5"/>
    <w:rsid w:val="00420F3D"/>
    <w:rsid w:val="004231FB"/>
    <w:rsid w:val="0043554D"/>
    <w:rsid w:val="004374EE"/>
    <w:rsid w:val="00441B5B"/>
    <w:rsid w:val="00442D52"/>
    <w:rsid w:val="0044324A"/>
    <w:rsid w:val="00451D41"/>
    <w:rsid w:val="00452932"/>
    <w:rsid w:val="00454019"/>
    <w:rsid w:val="00455C8C"/>
    <w:rsid w:val="00461E57"/>
    <w:rsid w:val="00471772"/>
    <w:rsid w:val="004721E9"/>
    <w:rsid w:val="004731D1"/>
    <w:rsid w:val="0047463A"/>
    <w:rsid w:val="0048724E"/>
    <w:rsid w:val="00490277"/>
    <w:rsid w:val="00491AB9"/>
    <w:rsid w:val="00492EDB"/>
    <w:rsid w:val="0049665E"/>
    <w:rsid w:val="00497097"/>
    <w:rsid w:val="004A0250"/>
    <w:rsid w:val="004A1B22"/>
    <w:rsid w:val="004A56A1"/>
    <w:rsid w:val="004A6D96"/>
    <w:rsid w:val="004B0C0D"/>
    <w:rsid w:val="004B2411"/>
    <w:rsid w:val="004B46B5"/>
    <w:rsid w:val="004B6E9F"/>
    <w:rsid w:val="004D1541"/>
    <w:rsid w:val="004D32FF"/>
    <w:rsid w:val="004D352F"/>
    <w:rsid w:val="004D55B4"/>
    <w:rsid w:val="004D6610"/>
    <w:rsid w:val="004E2755"/>
    <w:rsid w:val="004E3971"/>
    <w:rsid w:val="004E7F6C"/>
    <w:rsid w:val="004F0DB1"/>
    <w:rsid w:val="004F2709"/>
    <w:rsid w:val="00500420"/>
    <w:rsid w:val="00501A49"/>
    <w:rsid w:val="00507A39"/>
    <w:rsid w:val="00507FA0"/>
    <w:rsid w:val="00511802"/>
    <w:rsid w:val="005126BA"/>
    <w:rsid w:val="005136E8"/>
    <w:rsid w:val="005148B5"/>
    <w:rsid w:val="00516B71"/>
    <w:rsid w:val="00523D9D"/>
    <w:rsid w:val="00525EBC"/>
    <w:rsid w:val="005304BB"/>
    <w:rsid w:val="005347AC"/>
    <w:rsid w:val="00535105"/>
    <w:rsid w:val="005362B9"/>
    <w:rsid w:val="005368D3"/>
    <w:rsid w:val="00541CF0"/>
    <w:rsid w:val="00544C11"/>
    <w:rsid w:val="00545671"/>
    <w:rsid w:val="005462E8"/>
    <w:rsid w:val="00550A0D"/>
    <w:rsid w:val="00552102"/>
    <w:rsid w:val="005557A3"/>
    <w:rsid w:val="005655DD"/>
    <w:rsid w:val="00565641"/>
    <w:rsid w:val="00566537"/>
    <w:rsid w:val="005677F5"/>
    <w:rsid w:val="005705D6"/>
    <w:rsid w:val="005764BD"/>
    <w:rsid w:val="00581AC6"/>
    <w:rsid w:val="005871BC"/>
    <w:rsid w:val="005874E9"/>
    <w:rsid w:val="00587EEB"/>
    <w:rsid w:val="0059304D"/>
    <w:rsid w:val="00593E00"/>
    <w:rsid w:val="00594FCF"/>
    <w:rsid w:val="0059550F"/>
    <w:rsid w:val="005960FA"/>
    <w:rsid w:val="005A1032"/>
    <w:rsid w:val="005A2DA8"/>
    <w:rsid w:val="005A3265"/>
    <w:rsid w:val="005B1453"/>
    <w:rsid w:val="005B324C"/>
    <w:rsid w:val="005B5A42"/>
    <w:rsid w:val="005B5E56"/>
    <w:rsid w:val="005C278C"/>
    <w:rsid w:val="005C4175"/>
    <w:rsid w:val="005D0375"/>
    <w:rsid w:val="005D493A"/>
    <w:rsid w:val="005E0566"/>
    <w:rsid w:val="005F2743"/>
    <w:rsid w:val="005F2DAA"/>
    <w:rsid w:val="005F3ECD"/>
    <w:rsid w:val="005F4BE5"/>
    <w:rsid w:val="005F52EF"/>
    <w:rsid w:val="005F6B2E"/>
    <w:rsid w:val="005F7E74"/>
    <w:rsid w:val="005F7FA3"/>
    <w:rsid w:val="00600537"/>
    <w:rsid w:val="00603134"/>
    <w:rsid w:val="00605F34"/>
    <w:rsid w:val="00611B8B"/>
    <w:rsid w:val="00613A48"/>
    <w:rsid w:val="006157EE"/>
    <w:rsid w:val="00616909"/>
    <w:rsid w:val="00625880"/>
    <w:rsid w:val="00630BCB"/>
    <w:rsid w:val="0063363A"/>
    <w:rsid w:val="00635433"/>
    <w:rsid w:val="00636B0C"/>
    <w:rsid w:val="00640040"/>
    <w:rsid w:val="00642F7E"/>
    <w:rsid w:val="006519E9"/>
    <w:rsid w:val="0065307F"/>
    <w:rsid w:val="00653459"/>
    <w:rsid w:val="00656366"/>
    <w:rsid w:val="00676B19"/>
    <w:rsid w:val="006805EA"/>
    <w:rsid w:val="00684466"/>
    <w:rsid w:val="006857A4"/>
    <w:rsid w:val="006864E6"/>
    <w:rsid w:val="00687014"/>
    <w:rsid w:val="00691CAE"/>
    <w:rsid w:val="006A11C5"/>
    <w:rsid w:val="006A2EFF"/>
    <w:rsid w:val="006A4838"/>
    <w:rsid w:val="006A4CFE"/>
    <w:rsid w:val="006B224F"/>
    <w:rsid w:val="006B630B"/>
    <w:rsid w:val="006C0601"/>
    <w:rsid w:val="006C096E"/>
    <w:rsid w:val="006C147E"/>
    <w:rsid w:val="006C24B6"/>
    <w:rsid w:val="006C24EE"/>
    <w:rsid w:val="006C351A"/>
    <w:rsid w:val="006C483C"/>
    <w:rsid w:val="006C51AC"/>
    <w:rsid w:val="006C6E8C"/>
    <w:rsid w:val="006D09CD"/>
    <w:rsid w:val="006D38A8"/>
    <w:rsid w:val="006E235C"/>
    <w:rsid w:val="006E5B38"/>
    <w:rsid w:val="006E6FD3"/>
    <w:rsid w:val="006F2464"/>
    <w:rsid w:val="006F74F0"/>
    <w:rsid w:val="007009EE"/>
    <w:rsid w:val="00702B74"/>
    <w:rsid w:val="0070335A"/>
    <w:rsid w:val="00703AE6"/>
    <w:rsid w:val="0070474D"/>
    <w:rsid w:val="007168C4"/>
    <w:rsid w:val="00716989"/>
    <w:rsid w:val="007220A2"/>
    <w:rsid w:val="00722B9F"/>
    <w:rsid w:val="00722E1F"/>
    <w:rsid w:val="00723167"/>
    <w:rsid w:val="007239FE"/>
    <w:rsid w:val="007242B8"/>
    <w:rsid w:val="00730E3B"/>
    <w:rsid w:val="007314EA"/>
    <w:rsid w:val="00731DF0"/>
    <w:rsid w:val="007322F4"/>
    <w:rsid w:val="00742750"/>
    <w:rsid w:val="007439DC"/>
    <w:rsid w:val="0075003C"/>
    <w:rsid w:val="00751BEB"/>
    <w:rsid w:val="00752F60"/>
    <w:rsid w:val="0075685A"/>
    <w:rsid w:val="00765EA1"/>
    <w:rsid w:val="007678A4"/>
    <w:rsid w:val="0077026A"/>
    <w:rsid w:val="00770D23"/>
    <w:rsid w:val="007723B0"/>
    <w:rsid w:val="00774579"/>
    <w:rsid w:val="00775F48"/>
    <w:rsid w:val="00782B73"/>
    <w:rsid w:val="00783DEE"/>
    <w:rsid w:val="0078477E"/>
    <w:rsid w:val="00784FF9"/>
    <w:rsid w:val="00785EF0"/>
    <w:rsid w:val="007932D6"/>
    <w:rsid w:val="00794A22"/>
    <w:rsid w:val="007A044F"/>
    <w:rsid w:val="007A16DF"/>
    <w:rsid w:val="007A6AF1"/>
    <w:rsid w:val="007A7BCE"/>
    <w:rsid w:val="007B15B6"/>
    <w:rsid w:val="007B2847"/>
    <w:rsid w:val="007B32ED"/>
    <w:rsid w:val="007C3785"/>
    <w:rsid w:val="007C37C8"/>
    <w:rsid w:val="007D29C6"/>
    <w:rsid w:val="007D3180"/>
    <w:rsid w:val="007D34FB"/>
    <w:rsid w:val="007D4DAA"/>
    <w:rsid w:val="007D5F76"/>
    <w:rsid w:val="007E1B0E"/>
    <w:rsid w:val="007E1EBA"/>
    <w:rsid w:val="007E4BDF"/>
    <w:rsid w:val="007E5EC2"/>
    <w:rsid w:val="007F133E"/>
    <w:rsid w:val="007F14FA"/>
    <w:rsid w:val="00801C1D"/>
    <w:rsid w:val="008025EB"/>
    <w:rsid w:val="00805DC6"/>
    <w:rsid w:val="00814C59"/>
    <w:rsid w:val="00817FE1"/>
    <w:rsid w:val="008202A5"/>
    <w:rsid w:val="00823724"/>
    <w:rsid w:val="008269E1"/>
    <w:rsid w:val="00826F17"/>
    <w:rsid w:val="00830676"/>
    <w:rsid w:val="00836569"/>
    <w:rsid w:val="00837C9F"/>
    <w:rsid w:val="00841E15"/>
    <w:rsid w:val="00846E91"/>
    <w:rsid w:val="008476FA"/>
    <w:rsid w:val="00855A27"/>
    <w:rsid w:val="00855F29"/>
    <w:rsid w:val="00860940"/>
    <w:rsid w:val="00863D12"/>
    <w:rsid w:val="008673F3"/>
    <w:rsid w:val="008739D8"/>
    <w:rsid w:val="0087543B"/>
    <w:rsid w:val="00877229"/>
    <w:rsid w:val="00885A5F"/>
    <w:rsid w:val="00885F64"/>
    <w:rsid w:val="008928FE"/>
    <w:rsid w:val="00892A82"/>
    <w:rsid w:val="008A00D7"/>
    <w:rsid w:val="008A110B"/>
    <w:rsid w:val="008A611B"/>
    <w:rsid w:val="008A7AC8"/>
    <w:rsid w:val="008B093D"/>
    <w:rsid w:val="008B129D"/>
    <w:rsid w:val="008B173D"/>
    <w:rsid w:val="008B3D19"/>
    <w:rsid w:val="008B4410"/>
    <w:rsid w:val="008C0287"/>
    <w:rsid w:val="008C7084"/>
    <w:rsid w:val="008D46F1"/>
    <w:rsid w:val="008E45D4"/>
    <w:rsid w:val="008E66E0"/>
    <w:rsid w:val="008F1DFE"/>
    <w:rsid w:val="008F2DE2"/>
    <w:rsid w:val="008F3F8C"/>
    <w:rsid w:val="008F44AD"/>
    <w:rsid w:val="008F7638"/>
    <w:rsid w:val="0090347E"/>
    <w:rsid w:val="00904EAD"/>
    <w:rsid w:val="00905FAC"/>
    <w:rsid w:val="00913C8E"/>
    <w:rsid w:val="00915838"/>
    <w:rsid w:val="00915D7C"/>
    <w:rsid w:val="009205E0"/>
    <w:rsid w:val="00922E1C"/>
    <w:rsid w:val="00926A16"/>
    <w:rsid w:val="0093433D"/>
    <w:rsid w:val="00934414"/>
    <w:rsid w:val="00947423"/>
    <w:rsid w:val="00950A53"/>
    <w:rsid w:val="00953136"/>
    <w:rsid w:val="0095370C"/>
    <w:rsid w:val="00954110"/>
    <w:rsid w:val="00954A95"/>
    <w:rsid w:val="00963A74"/>
    <w:rsid w:val="00963E0D"/>
    <w:rsid w:val="0096523B"/>
    <w:rsid w:val="009653BA"/>
    <w:rsid w:val="00965A49"/>
    <w:rsid w:val="00966003"/>
    <w:rsid w:val="0097202D"/>
    <w:rsid w:val="0097658F"/>
    <w:rsid w:val="0098071B"/>
    <w:rsid w:val="00982F41"/>
    <w:rsid w:val="00984DB1"/>
    <w:rsid w:val="0099052B"/>
    <w:rsid w:val="00991E8A"/>
    <w:rsid w:val="00994090"/>
    <w:rsid w:val="00995D30"/>
    <w:rsid w:val="009A01B0"/>
    <w:rsid w:val="009A0C4D"/>
    <w:rsid w:val="009A3450"/>
    <w:rsid w:val="009A3FBC"/>
    <w:rsid w:val="009A5148"/>
    <w:rsid w:val="009B0146"/>
    <w:rsid w:val="009B1971"/>
    <w:rsid w:val="009B19BB"/>
    <w:rsid w:val="009B1DA8"/>
    <w:rsid w:val="009B77E5"/>
    <w:rsid w:val="009B7A13"/>
    <w:rsid w:val="009B7FC6"/>
    <w:rsid w:val="009C2C74"/>
    <w:rsid w:val="009C61FB"/>
    <w:rsid w:val="009F279E"/>
    <w:rsid w:val="009F5040"/>
    <w:rsid w:val="00A00B67"/>
    <w:rsid w:val="00A01773"/>
    <w:rsid w:val="00A03480"/>
    <w:rsid w:val="00A0456B"/>
    <w:rsid w:val="00A055A0"/>
    <w:rsid w:val="00A06DB4"/>
    <w:rsid w:val="00A10668"/>
    <w:rsid w:val="00A152D9"/>
    <w:rsid w:val="00A22BC5"/>
    <w:rsid w:val="00A23AC3"/>
    <w:rsid w:val="00A267B4"/>
    <w:rsid w:val="00A275D4"/>
    <w:rsid w:val="00A27F01"/>
    <w:rsid w:val="00A32BE9"/>
    <w:rsid w:val="00A343BF"/>
    <w:rsid w:val="00A351A3"/>
    <w:rsid w:val="00A357B6"/>
    <w:rsid w:val="00A37B95"/>
    <w:rsid w:val="00A404EF"/>
    <w:rsid w:val="00A46B0C"/>
    <w:rsid w:val="00A47F22"/>
    <w:rsid w:val="00A5432C"/>
    <w:rsid w:val="00A55103"/>
    <w:rsid w:val="00A55E51"/>
    <w:rsid w:val="00A56850"/>
    <w:rsid w:val="00A61EB8"/>
    <w:rsid w:val="00A675CE"/>
    <w:rsid w:val="00A67E47"/>
    <w:rsid w:val="00A7134F"/>
    <w:rsid w:val="00A82DF4"/>
    <w:rsid w:val="00A849BF"/>
    <w:rsid w:val="00A90E55"/>
    <w:rsid w:val="00A96FEF"/>
    <w:rsid w:val="00AA01A9"/>
    <w:rsid w:val="00AA6ED7"/>
    <w:rsid w:val="00AB0464"/>
    <w:rsid w:val="00AB18B0"/>
    <w:rsid w:val="00AB2D54"/>
    <w:rsid w:val="00AB5645"/>
    <w:rsid w:val="00AB69EF"/>
    <w:rsid w:val="00AB7626"/>
    <w:rsid w:val="00AC0189"/>
    <w:rsid w:val="00AC0E23"/>
    <w:rsid w:val="00AC4F12"/>
    <w:rsid w:val="00AC728A"/>
    <w:rsid w:val="00AC739D"/>
    <w:rsid w:val="00AD3702"/>
    <w:rsid w:val="00AD3B74"/>
    <w:rsid w:val="00AD4A7D"/>
    <w:rsid w:val="00AE1054"/>
    <w:rsid w:val="00AE49D0"/>
    <w:rsid w:val="00AE6F1E"/>
    <w:rsid w:val="00AF39CE"/>
    <w:rsid w:val="00AF43C3"/>
    <w:rsid w:val="00AF7077"/>
    <w:rsid w:val="00B0480D"/>
    <w:rsid w:val="00B05F3E"/>
    <w:rsid w:val="00B07DA1"/>
    <w:rsid w:val="00B105C7"/>
    <w:rsid w:val="00B105CC"/>
    <w:rsid w:val="00B11466"/>
    <w:rsid w:val="00B2781C"/>
    <w:rsid w:val="00B300FA"/>
    <w:rsid w:val="00B334FB"/>
    <w:rsid w:val="00B443BA"/>
    <w:rsid w:val="00B5152A"/>
    <w:rsid w:val="00B52BBF"/>
    <w:rsid w:val="00B53852"/>
    <w:rsid w:val="00B571AC"/>
    <w:rsid w:val="00B61468"/>
    <w:rsid w:val="00B63071"/>
    <w:rsid w:val="00B6594E"/>
    <w:rsid w:val="00B6754A"/>
    <w:rsid w:val="00B7051F"/>
    <w:rsid w:val="00B72FA1"/>
    <w:rsid w:val="00B74F93"/>
    <w:rsid w:val="00B7772B"/>
    <w:rsid w:val="00B926E2"/>
    <w:rsid w:val="00B93DE7"/>
    <w:rsid w:val="00B95E80"/>
    <w:rsid w:val="00BA1412"/>
    <w:rsid w:val="00BA2020"/>
    <w:rsid w:val="00BA3460"/>
    <w:rsid w:val="00BA5D19"/>
    <w:rsid w:val="00BA685F"/>
    <w:rsid w:val="00BB1923"/>
    <w:rsid w:val="00BB2D3F"/>
    <w:rsid w:val="00BB5D15"/>
    <w:rsid w:val="00BC1430"/>
    <w:rsid w:val="00BC391E"/>
    <w:rsid w:val="00BC6B5B"/>
    <w:rsid w:val="00BD727D"/>
    <w:rsid w:val="00BE04DC"/>
    <w:rsid w:val="00BE2FF1"/>
    <w:rsid w:val="00BE56A2"/>
    <w:rsid w:val="00BE7857"/>
    <w:rsid w:val="00BF3FCA"/>
    <w:rsid w:val="00BF525A"/>
    <w:rsid w:val="00C01F43"/>
    <w:rsid w:val="00C02173"/>
    <w:rsid w:val="00C11B6F"/>
    <w:rsid w:val="00C23162"/>
    <w:rsid w:val="00C3299A"/>
    <w:rsid w:val="00C35C18"/>
    <w:rsid w:val="00C40148"/>
    <w:rsid w:val="00C40ED6"/>
    <w:rsid w:val="00C4184E"/>
    <w:rsid w:val="00C41A21"/>
    <w:rsid w:val="00C41CE9"/>
    <w:rsid w:val="00C41DF5"/>
    <w:rsid w:val="00C42296"/>
    <w:rsid w:val="00C433FF"/>
    <w:rsid w:val="00C44DD3"/>
    <w:rsid w:val="00C44E1B"/>
    <w:rsid w:val="00C455E6"/>
    <w:rsid w:val="00C45E71"/>
    <w:rsid w:val="00C463B0"/>
    <w:rsid w:val="00C46DA1"/>
    <w:rsid w:val="00C479CB"/>
    <w:rsid w:val="00C47C1A"/>
    <w:rsid w:val="00C502EE"/>
    <w:rsid w:val="00C62F9E"/>
    <w:rsid w:val="00C657D4"/>
    <w:rsid w:val="00C71061"/>
    <w:rsid w:val="00C7123E"/>
    <w:rsid w:val="00C75497"/>
    <w:rsid w:val="00C82893"/>
    <w:rsid w:val="00C8394B"/>
    <w:rsid w:val="00C875BF"/>
    <w:rsid w:val="00C93211"/>
    <w:rsid w:val="00C95A9F"/>
    <w:rsid w:val="00C976DF"/>
    <w:rsid w:val="00C97D5C"/>
    <w:rsid w:val="00C97FAD"/>
    <w:rsid w:val="00CA37B5"/>
    <w:rsid w:val="00CB377F"/>
    <w:rsid w:val="00CB50AB"/>
    <w:rsid w:val="00CB679A"/>
    <w:rsid w:val="00CB705A"/>
    <w:rsid w:val="00CC4228"/>
    <w:rsid w:val="00CC770D"/>
    <w:rsid w:val="00CD2492"/>
    <w:rsid w:val="00CD5514"/>
    <w:rsid w:val="00CD71BA"/>
    <w:rsid w:val="00CE218D"/>
    <w:rsid w:val="00CE4E0B"/>
    <w:rsid w:val="00CE74DB"/>
    <w:rsid w:val="00CE798D"/>
    <w:rsid w:val="00CF1CAE"/>
    <w:rsid w:val="00CF4C5C"/>
    <w:rsid w:val="00D004E3"/>
    <w:rsid w:val="00D01472"/>
    <w:rsid w:val="00D0241F"/>
    <w:rsid w:val="00D03290"/>
    <w:rsid w:val="00D04334"/>
    <w:rsid w:val="00D06F2E"/>
    <w:rsid w:val="00D07B07"/>
    <w:rsid w:val="00D07F01"/>
    <w:rsid w:val="00D1077E"/>
    <w:rsid w:val="00D11FAB"/>
    <w:rsid w:val="00D15C54"/>
    <w:rsid w:val="00D20655"/>
    <w:rsid w:val="00D22D57"/>
    <w:rsid w:val="00D23D42"/>
    <w:rsid w:val="00D24551"/>
    <w:rsid w:val="00D321F6"/>
    <w:rsid w:val="00D33AC0"/>
    <w:rsid w:val="00D343F4"/>
    <w:rsid w:val="00D361CA"/>
    <w:rsid w:val="00D411C0"/>
    <w:rsid w:val="00D41D67"/>
    <w:rsid w:val="00D435FC"/>
    <w:rsid w:val="00D43F1E"/>
    <w:rsid w:val="00D52318"/>
    <w:rsid w:val="00D549EE"/>
    <w:rsid w:val="00D573EE"/>
    <w:rsid w:val="00D574BE"/>
    <w:rsid w:val="00D60CAF"/>
    <w:rsid w:val="00D64033"/>
    <w:rsid w:val="00D701DC"/>
    <w:rsid w:val="00D71DF0"/>
    <w:rsid w:val="00D82143"/>
    <w:rsid w:val="00D82369"/>
    <w:rsid w:val="00D845B4"/>
    <w:rsid w:val="00DA0F30"/>
    <w:rsid w:val="00DA2A66"/>
    <w:rsid w:val="00DA4A43"/>
    <w:rsid w:val="00DB3773"/>
    <w:rsid w:val="00DB4D0D"/>
    <w:rsid w:val="00DC2A6D"/>
    <w:rsid w:val="00DC39E6"/>
    <w:rsid w:val="00DC48C6"/>
    <w:rsid w:val="00DC7A4D"/>
    <w:rsid w:val="00DD0201"/>
    <w:rsid w:val="00DD02F8"/>
    <w:rsid w:val="00DD042C"/>
    <w:rsid w:val="00DD0E62"/>
    <w:rsid w:val="00DD11A3"/>
    <w:rsid w:val="00DD1645"/>
    <w:rsid w:val="00DD16D3"/>
    <w:rsid w:val="00DD750C"/>
    <w:rsid w:val="00DE56AE"/>
    <w:rsid w:val="00DF17CB"/>
    <w:rsid w:val="00DF57A1"/>
    <w:rsid w:val="00DF748B"/>
    <w:rsid w:val="00E00720"/>
    <w:rsid w:val="00E1126A"/>
    <w:rsid w:val="00E12343"/>
    <w:rsid w:val="00E13B6C"/>
    <w:rsid w:val="00E15AA2"/>
    <w:rsid w:val="00E17160"/>
    <w:rsid w:val="00E22B44"/>
    <w:rsid w:val="00E23804"/>
    <w:rsid w:val="00E23C9B"/>
    <w:rsid w:val="00E26AA2"/>
    <w:rsid w:val="00E326B0"/>
    <w:rsid w:val="00E37D60"/>
    <w:rsid w:val="00E37EED"/>
    <w:rsid w:val="00E41781"/>
    <w:rsid w:val="00E418B7"/>
    <w:rsid w:val="00E432B9"/>
    <w:rsid w:val="00E51322"/>
    <w:rsid w:val="00E553C9"/>
    <w:rsid w:val="00E5730A"/>
    <w:rsid w:val="00E57EB1"/>
    <w:rsid w:val="00E61F08"/>
    <w:rsid w:val="00E636DA"/>
    <w:rsid w:val="00E65DEC"/>
    <w:rsid w:val="00E710F6"/>
    <w:rsid w:val="00E71DAE"/>
    <w:rsid w:val="00E77BDE"/>
    <w:rsid w:val="00E835A6"/>
    <w:rsid w:val="00E838C7"/>
    <w:rsid w:val="00E850BC"/>
    <w:rsid w:val="00E85CF6"/>
    <w:rsid w:val="00E90907"/>
    <w:rsid w:val="00E91408"/>
    <w:rsid w:val="00E951B3"/>
    <w:rsid w:val="00EA1010"/>
    <w:rsid w:val="00EA5D1B"/>
    <w:rsid w:val="00EB2E65"/>
    <w:rsid w:val="00EB41AC"/>
    <w:rsid w:val="00EB6BA9"/>
    <w:rsid w:val="00EC271E"/>
    <w:rsid w:val="00EC2CC4"/>
    <w:rsid w:val="00EC3B09"/>
    <w:rsid w:val="00EC49CC"/>
    <w:rsid w:val="00EC5A06"/>
    <w:rsid w:val="00EC6249"/>
    <w:rsid w:val="00EC6D80"/>
    <w:rsid w:val="00ED7CA0"/>
    <w:rsid w:val="00EE5B36"/>
    <w:rsid w:val="00EF2CCB"/>
    <w:rsid w:val="00EF3549"/>
    <w:rsid w:val="00F0084C"/>
    <w:rsid w:val="00F00E9D"/>
    <w:rsid w:val="00F01356"/>
    <w:rsid w:val="00F02C98"/>
    <w:rsid w:val="00F11682"/>
    <w:rsid w:val="00F15A68"/>
    <w:rsid w:val="00F163DF"/>
    <w:rsid w:val="00F17DAC"/>
    <w:rsid w:val="00F209E9"/>
    <w:rsid w:val="00F23855"/>
    <w:rsid w:val="00F23868"/>
    <w:rsid w:val="00F2553F"/>
    <w:rsid w:val="00F25982"/>
    <w:rsid w:val="00F3465A"/>
    <w:rsid w:val="00F348BD"/>
    <w:rsid w:val="00F35E68"/>
    <w:rsid w:val="00F4159C"/>
    <w:rsid w:val="00F45B67"/>
    <w:rsid w:val="00F52238"/>
    <w:rsid w:val="00F5374F"/>
    <w:rsid w:val="00F56F33"/>
    <w:rsid w:val="00F60438"/>
    <w:rsid w:val="00F64FD6"/>
    <w:rsid w:val="00F66544"/>
    <w:rsid w:val="00F6731B"/>
    <w:rsid w:val="00F67561"/>
    <w:rsid w:val="00F72C6E"/>
    <w:rsid w:val="00F76B59"/>
    <w:rsid w:val="00F76E00"/>
    <w:rsid w:val="00F81768"/>
    <w:rsid w:val="00F842CA"/>
    <w:rsid w:val="00F844FE"/>
    <w:rsid w:val="00F87D51"/>
    <w:rsid w:val="00F9498B"/>
    <w:rsid w:val="00FA33ED"/>
    <w:rsid w:val="00FA3A88"/>
    <w:rsid w:val="00FA4136"/>
    <w:rsid w:val="00FA4FCC"/>
    <w:rsid w:val="00FA6106"/>
    <w:rsid w:val="00FB0231"/>
    <w:rsid w:val="00FB2360"/>
    <w:rsid w:val="00FB25D3"/>
    <w:rsid w:val="00FB261C"/>
    <w:rsid w:val="00FB4B23"/>
    <w:rsid w:val="00FB60F2"/>
    <w:rsid w:val="00FC1871"/>
    <w:rsid w:val="00FC7065"/>
    <w:rsid w:val="00FD0573"/>
    <w:rsid w:val="00FD086E"/>
    <w:rsid w:val="00FE015D"/>
    <w:rsid w:val="00FE3747"/>
    <w:rsid w:val="00FE5867"/>
    <w:rsid w:val="00FE6A5B"/>
    <w:rsid w:val="00FE6AFA"/>
    <w:rsid w:val="00FE72F0"/>
    <w:rsid w:val="00FF2FE4"/>
    <w:rsid w:val="00FF3C66"/>
    <w:rsid w:val="00FF4239"/>
    <w:rsid w:val="0459572E"/>
    <w:rsid w:val="06184314"/>
    <w:rsid w:val="0645091F"/>
    <w:rsid w:val="06684E22"/>
    <w:rsid w:val="0E860414"/>
    <w:rsid w:val="0EC072D4"/>
    <w:rsid w:val="17CD2304"/>
    <w:rsid w:val="1DBA6061"/>
    <w:rsid w:val="209E1D06"/>
    <w:rsid w:val="216E446A"/>
    <w:rsid w:val="306A7B89"/>
    <w:rsid w:val="342B7DCA"/>
    <w:rsid w:val="36D405E5"/>
    <w:rsid w:val="38BC7CC5"/>
    <w:rsid w:val="3976242A"/>
    <w:rsid w:val="3B0735D5"/>
    <w:rsid w:val="3D475D26"/>
    <w:rsid w:val="4008496B"/>
    <w:rsid w:val="461C76A6"/>
    <w:rsid w:val="46A7113B"/>
    <w:rsid w:val="4D253945"/>
    <w:rsid w:val="506F7219"/>
    <w:rsid w:val="563B5487"/>
    <w:rsid w:val="5E1A3D08"/>
    <w:rsid w:val="65827169"/>
    <w:rsid w:val="67E50A5A"/>
    <w:rsid w:val="70996FD2"/>
    <w:rsid w:val="79A100AE"/>
    <w:rsid w:val="7E1E02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jc w:val="center"/>
      <w:outlineLvl w:val="0"/>
    </w:pPr>
    <w:rPr>
      <w:b/>
      <w:bCs/>
      <w:i/>
      <w:iCs/>
      <w:sz w:val="52"/>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qFormat/>
    <w:uiPriority w:val="0"/>
    <w:pPr>
      <w:jc w:val="left"/>
    </w:pPr>
  </w:style>
  <w:style w:type="paragraph" w:styleId="4">
    <w:name w:val="Body Text"/>
    <w:basedOn w:val="1"/>
    <w:semiHidden/>
    <w:qFormat/>
    <w:uiPriority w:val="0"/>
    <w:rPr>
      <w:rFonts w:ascii="宋体" w:hAnsi="宋体" w:cs="宋体"/>
      <w:sz w:val="24"/>
      <w:lang w:eastAsia="en-US"/>
    </w:rPr>
  </w:style>
  <w:style w:type="paragraph" w:styleId="5">
    <w:name w:val="Plain Text"/>
    <w:basedOn w:val="1"/>
    <w:qFormat/>
    <w:uiPriority w:val="0"/>
    <w:rPr>
      <w:rFonts w:ascii="宋体" w:hAnsi="Courier New" w:cs="楷体_GB2312"/>
      <w:szCs w:val="21"/>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paragraph" w:styleId="10">
    <w:name w:val="Title"/>
    <w:basedOn w:val="1"/>
    <w:next w:val="1"/>
    <w:link w:val="26"/>
    <w:qFormat/>
    <w:uiPriority w:val="0"/>
    <w:pPr>
      <w:spacing w:before="240" w:after="60"/>
      <w:jc w:val="center"/>
      <w:outlineLvl w:val="0"/>
    </w:pPr>
    <w:rPr>
      <w:rFonts w:asciiTheme="majorHAnsi" w:hAnsiTheme="majorHAnsi" w:eastAsiaTheme="majorEastAsia" w:cstheme="majorBidi"/>
      <w:b/>
      <w:bCs/>
      <w:sz w:val="32"/>
      <w:szCs w:val="32"/>
    </w:rPr>
  </w:style>
  <w:style w:type="paragraph" w:styleId="11">
    <w:name w:val="annotation subject"/>
    <w:basedOn w:val="3"/>
    <w:next w:val="3"/>
    <w:link w:val="20"/>
    <w:qFormat/>
    <w:uiPriority w:val="0"/>
    <w:rPr>
      <w:b/>
      <w:bCs/>
    </w:r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Emphasis"/>
    <w:qFormat/>
    <w:uiPriority w:val="0"/>
    <w:rPr>
      <w:color w:val="CC0000"/>
    </w:rPr>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character" w:customStyle="1" w:styleId="19">
    <w:name w:val="批注文字 Char"/>
    <w:link w:val="3"/>
    <w:qFormat/>
    <w:uiPriority w:val="0"/>
    <w:rPr>
      <w:kern w:val="2"/>
      <w:sz w:val="21"/>
      <w:szCs w:val="24"/>
    </w:rPr>
  </w:style>
  <w:style w:type="character" w:customStyle="1" w:styleId="20">
    <w:name w:val="批注主题 Char"/>
    <w:link w:val="11"/>
    <w:qFormat/>
    <w:uiPriority w:val="0"/>
    <w:rPr>
      <w:b/>
      <w:bCs/>
      <w:kern w:val="2"/>
      <w:sz w:val="21"/>
      <w:szCs w:val="24"/>
    </w:rPr>
  </w:style>
  <w:style w:type="paragraph" w:customStyle="1" w:styleId="21">
    <w:name w:val="Char"/>
    <w:basedOn w:val="1"/>
    <w:qFormat/>
    <w:uiPriority w:val="0"/>
  </w:style>
  <w:style w:type="paragraph" w:customStyle="1" w:styleId="22">
    <w:name w:val="修订1"/>
    <w:semiHidden/>
    <w:qFormat/>
    <w:uiPriority w:val="99"/>
    <w:rPr>
      <w:rFonts w:ascii="Times New Roman" w:hAnsi="Times New Roman" w:eastAsia="宋体" w:cs="Times New Roman"/>
      <w:kern w:val="2"/>
      <w:sz w:val="21"/>
      <w:szCs w:val="24"/>
      <w:lang w:val="en-US" w:eastAsia="zh-CN" w:bidi="ar-SA"/>
    </w:rPr>
  </w:style>
  <w:style w:type="paragraph" w:styleId="23">
    <w:name w:val="List Paragraph"/>
    <w:basedOn w:val="1"/>
    <w:qFormat/>
    <w:uiPriority w:val="34"/>
    <w:pPr>
      <w:widowControl/>
      <w:spacing w:line="360" w:lineRule="auto"/>
      <w:ind w:firstLine="420" w:firstLineChars="200"/>
    </w:pPr>
    <w:rPr>
      <w:rFonts w:ascii="Calibri" w:hAnsi="Calibri"/>
      <w:sz w:val="24"/>
      <w:szCs w:val="32"/>
    </w:rPr>
  </w:style>
  <w:style w:type="paragraph" w:customStyle="1" w:styleId="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页眉 Char"/>
    <w:basedOn w:val="14"/>
    <w:link w:val="8"/>
    <w:qFormat/>
    <w:uiPriority w:val="99"/>
    <w:rPr>
      <w:kern w:val="2"/>
      <w:sz w:val="18"/>
      <w:szCs w:val="18"/>
    </w:rPr>
  </w:style>
  <w:style w:type="character" w:customStyle="1" w:styleId="26">
    <w:name w:val="标题 Char"/>
    <w:basedOn w:val="14"/>
    <w:link w:val="10"/>
    <w:qFormat/>
    <w:uiPriority w:val="0"/>
    <w:rPr>
      <w:rFonts w:asciiTheme="majorHAnsi" w:hAnsiTheme="majorHAnsi" w:eastAsiaTheme="majorEastAsia" w:cstheme="majorBidi"/>
      <w:b/>
      <w:bCs/>
      <w:kern w:val="2"/>
      <w:sz w:val="32"/>
      <w:szCs w:val="32"/>
    </w:rPr>
  </w:style>
  <w:style w:type="paragraph" w:customStyle="1" w:styleId="27">
    <w:name w:val="修订2"/>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header6.xml.rels><?xml version="1.0" encoding="UTF-8" standalone="yes"?>
<Relationships xmlns="http://schemas.openxmlformats.org/package/2006/relationships"><Relationship Id="rId1" Type="http://schemas.openxmlformats.org/officeDocument/2006/relationships/image" Target="media/image2.jpeg"/></Relationships>
</file>

<file path=word/_rels/header7.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8EECE7-4D35-4363-A481-CA7AF35AF3BA}">
  <ds:schemaRefs/>
</ds:datastoreItem>
</file>

<file path=docProps/app.xml><?xml version="1.0" encoding="utf-8"?>
<Properties xmlns="http://schemas.openxmlformats.org/officeDocument/2006/extended-properties" xmlns:vt="http://schemas.openxmlformats.org/officeDocument/2006/docPropsVTypes">
  <Template>Normal</Template>
  <Company>MS User</Company>
  <Pages>6</Pages>
  <Words>2087</Words>
  <Characters>2121</Characters>
  <Lines>42</Lines>
  <Paragraphs>11</Paragraphs>
  <TotalTime>7</TotalTime>
  <ScaleCrop>false</ScaleCrop>
  <LinksUpToDate>false</LinksUpToDate>
  <CharactersWithSpaces>2673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2022-07-04T03:09:00Z</dcterms:created>
  <dc:creator>MS User</dc:creator>
  <cp:lastModifiedBy>樂</cp:lastModifiedBy>
  <cp:lastPrinted>2016-08-09T07:52:00Z</cp:lastPrinted>
  <dcterms:modified xsi:type="dcterms:W3CDTF">2025-12-31T10:08:01Z</dcterms:modified>
  <dc:title>合同登记编号：</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eyJoZGlkIjoiNTU3MzY0ODFiZDAyMWM1OWQ3MTY0YzNlMzljOTMzMzEiLCJ1c2VySWQiOiI2NDE1NDQzMDYifQ==</vt:lpwstr>
  </property>
  <property fmtid="{D5CDD505-2E9C-101B-9397-08002B2CF9AE}" pid="4" name="ICV">
    <vt:lpwstr>C087BA06F21D459D9F3D8B1B6E9C7916_13</vt:lpwstr>
  </property>
</Properties>
</file>